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高雄市岡山區前峰國小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四 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年級第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一 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學期部定課程【閩南語領域】課程計畫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(新課綱)</w:t>
      </w:r>
      <w:r w:rsidDel="00000000" w:rsidR="00000000" w:rsidRPr="00000000">
        <w:rPr>
          <w:rtl w:val="0"/>
        </w:rPr>
      </w:r>
    </w:p>
    <w:tbl>
      <w:tblPr>
        <w:tblStyle w:val="Table1"/>
        <w:tblW w:w="15446.000000000002" w:type="dxa"/>
        <w:jc w:val="center"/>
        <w:tblLayout w:type="fixed"/>
        <w:tblLook w:val="0000"/>
      </w:tblPr>
      <w:tblGrid>
        <w:gridCol w:w="722"/>
        <w:gridCol w:w="1276"/>
        <w:gridCol w:w="1559"/>
        <w:gridCol w:w="2410"/>
        <w:gridCol w:w="3544"/>
        <w:gridCol w:w="1276"/>
        <w:gridCol w:w="1559"/>
        <w:gridCol w:w="1134"/>
        <w:gridCol w:w="1966"/>
        <w:tblGridChange w:id="0">
          <w:tblGrid>
            <w:gridCol w:w="722"/>
            <w:gridCol w:w="1276"/>
            <w:gridCol w:w="1559"/>
            <w:gridCol w:w="2410"/>
            <w:gridCol w:w="3544"/>
            <w:gridCol w:w="1276"/>
            <w:gridCol w:w="1559"/>
            <w:gridCol w:w="1134"/>
            <w:gridCol w:w="1966"/>
          </w:tblGrid>
        </w:tblGridChange>
      </w:tblGrid>
      <w:tr>
        <w:trPr>
          <w:cantSplit w:val="1"/>
          <w:trHeight w:val="48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週次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單元/主題名稱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對應領域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核心素養指標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學習重點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評量方式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議題融入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線上教學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跨領域統整或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協同教學規劃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及線上教學規劃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(無則免填)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9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學習內容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學習表現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一、鬥鬧熱1.好日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閩-E-A2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Aa-Ⅱ-1 羅馬拼音。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Aa-Ⅱ-2 漢字書寫。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1-Ⅱ-1 能應用閩南語標音符號、羅馬字及漢字，協助聆聽理解。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1-Ⅱ-3 能聆聽並理解對方所說的閩南語。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3-Ⅱ-1 能閱讀日常生活中常見的閩南語文，並了解其意義。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態度評量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aeaaa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課綱：閩南語-多元文化(多E2、E4)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aeaaa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aeaaa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一、鬥鬧熱1.好日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Aa-Ⅱ-1 羅馬拼音。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Bg-Ⅱ-1 生活應對。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Bg-Ⅱ-2 口語表達。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1-Ⅱ-1 能應用閩南語標音符號、羅馬字及漢字，協助聆聽理解。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1-Ⅱ-3 能聆聽並理解對方所說的閩南語。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2-Ⅱ-2能用閩南語簡單說出日常生活計畫。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實作評量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聆聽評量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aeaaa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課綱：閩南語-多元文化(多E2、E4)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一、鬥鬧熱1.好日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閩-E-B1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Aa-Ⅱ-1 羅馬拼音。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Aa-Ⅱ-2 漢字書寫。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Ab-Ⅱ-1 語詞運用。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3-Ⅱ-1 能閱讀日常生活中常見的閩南語文，並了解其意義。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4-Ⅱ-1 能運用閩南語文簡單寫出自己的感受與需求。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態度評量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實作評量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aeaaa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課綱：閩南語-多元文化(多E2、E4)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一、鬥鬧熱1.好日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閩-E-A2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Aa-Ⅱ-1 羅馬拼音。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Aa-Ⅱ-2 漢字書寫。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Bg-Ⅱ-2 口語表達。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1-Ⅱ-1 能應用閩南語標音符號、羅馬字及漢字，協助聆聽理解。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4-Ⅱ-1 能運用閩南語文簡單寫出自己的感受與需求。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實作評量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聆聽評量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aeaaa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課綱：閩南語-多元文化(多E2、E4)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aeaaa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一、鬥鬧熱2.辦桌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閩-E-C1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Aa-Ⅱ-1 羅馬拼音。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Aa-Ⅱ-2 漢字書寫。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Bg-Ⅱ-2 口語表達。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1-Ⅱ-1 能應用閩南語標音符號、羅馬字及漢字，協助聆聽理解。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2-Ⅱ-1能運用閩南語的標音符號、羅馬字及漢字，協助口語表達。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3-Ⅱ-1 能閱讀日常生活中常見的閩南語文，並了解其意義。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態度評量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實作評量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曼陀羅策略評量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aeaaa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課綱：閩南語-環境(環E6)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aeaaa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一、鬥鬧熱2.辦桌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閩-E-A1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Aa-Ⅱ-2 漢字書寫。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Ab-Ⅱ-1 語詞運用。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Bg-Ⅱ-2 口語表達。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1-Ⅱ-3 能聆聽並理解對方所說的閩南語。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2-Ⅱ-1能運用閩南語的標音符號、羅馬字及漢字，協助口語表達。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3-Ⅱ-2 能運用標音符號、羅馬字及漢字認讀日常生活中常見、簡單的閩南語文。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實作評量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aeaaa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課綱：閩南語-環境(環E6)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一、鬥鬧熱2.辦桌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閩-E-A1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Aa-Ⅱ-1 羅馬拼音。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Aa-Ⅱ-2 漢字書寫。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Bg-Ⅱ-2 口語表達。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1-Ⅱ-1 能應用閩南語標音符號、羅馬字及漢字，協助聆聽理解。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2-Ⅱ-1能運用閩南語的標音符號、羅馬字及漢字，協助口語表達。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3-Ⅱ-1 能閱讀日常生活中常見的閩南語文，並了解其意義。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實作評量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聆聽評量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aeaaa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課綱：閩南語-環境(環E6)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aeaaa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一、鬥鬧熱2.辦桌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閩-E-C1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Aa-Ⅱ-1 羅馬拼音。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Aa-Ⅱ-2 漢字書寫。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Bg-Ⅱ-1 生活應對。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Bg-Ⅱ-2 口語表達。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1-Ⅱ-3 能聆聽並理解對方所說的閩南語。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2-Ⅱ-1能運用閩南語的標音符號、羅馬字及漢字，協助口語表達。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3-Ⅱ-1 能閱讀日常生活中常見的閩南語文，並了解其意義。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3-Ⅱ-2 能運用標音符號、羅馬字及漢字認讀日常生活中常見、簡單的閩南語文。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4-Ⅱ-2 能運用閩南語文寫出對他人的感謝、關懷與協助。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聆聽評量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aeaaa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課綱：閩南語-環境(環E6)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二、顧安全3.青紅燈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閩-E-A1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Aa-Ⅱ-1 羅馬拼音。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Aa-Ⅱ-2 漢字書寫。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Ab-Ⅱ-3 方音差異。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1-Ⅱ-1 能應用閩南語標音符號、羅馬字及漢字，協助聆聽理解。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3-Ⅱ-2 能運用標音符號、羅馬字及漢字認讀日常生活中常見、簡單的閩南語文。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態度評量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aeaaa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課綱：閩南語-安全(安E4、E5)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■線上教學</w:t>
                </w:r>
              </w:sdtContent>
            </w:sdt>
          </w:p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回家觀看教育平台相關影片，並於課堂進行發表</w:t>
                </w:r>
              </w:sdtContent>
            </w:sdt>
          </w:p>
          <w:p w:rsidR="00000000" w:rsidDel="00000000" w:rsidP="00000000" w:rsidRDefault="00000000" w:rsidRPr="00000000" w14:paraId="000000AD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二、顧安全3.青紅燈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閩-E-B1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。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Ab-Ⅱ-3 方音差異。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Bc-Ⅱ-1 社區生活。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Bg-Ⅱ-1 生活應對。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Bg-Ⅱ-2 口語表達。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1-Ⅱ-3 能聆聽並理解對方所說的閩南語。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3-Ⅱ-2 能運用標音符號、羅馬字及漢字認讀日常生活中常見、簡單的閩南語文。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3-Ⅱ-3 能透過閩南語文的閱讀，了解為人處世的道理。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實作評量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aeaaa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課綱：閩南語-安全(安E4、E5)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二、顧安全3.青紅燈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閩-E-C1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Aa-Ⅱ-1 羅馬拼音。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Aa-Ⅱ-2 漢字書寫。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Ab-Ⅱ-1 語詞運用。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Bg-Ⅱ-2 口語表達。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1-Ⅱ-1 能應用閩南語標音符號、羅馬字及漢字，協助聆聽理解。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1-Ⅱ-3 能聆聽並理解對方所說的閩南語。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2-Ⅱ-2能用閩南語簡單說出日常生活計畫。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4-Ⅱ-1 能運用閩南語文簡單寫出自己的感受與需求。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實作評量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聆聽評量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aeaaa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課綱：閩南語-安全(安E4、E5)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aeaaa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二、顧安全3.青紅燈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閩-E-B1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Aa-Ⅱ-1 羅馬拼音。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Aa-Ⅱ-2 漢字書寫。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Ab-Ⅱ-1 語詞運用。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。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Bg-Ⅱ-2 口語表達。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1-Ⅱ-1 能應用閩南語標音符號、羅馬字及漢字，協助聆聽理解。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1-Ⅱ-3 能聆聽並理解對方所說的閩南語。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3-Ⅱ-3 能透過閩南語文的閱讀，了解為人處世的道理。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態度評量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聆聽評量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aeaaa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課綱：閩南語-安全(安E4、E5)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aeaaa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三、清氣相4.洗身軀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閩-E-A2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Aa-Ⅱ-2 漢字書寫。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Ab-Ⅱ-3 方音差異。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Bg-Ⅱ-2 口語表達。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1-Ⅱ-1 能應用閩南語標音符號、羅馬字及漢字，協助聆聽理解。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3-Ⅱ-1 能閱讀日常生活中常見的閩南語文，並了解其意義。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3-Ⅱ-3 能透過閩南語文的閱讀，了解為人處事的道理。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態度評量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aeaaa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課綱：閩南語-家庭(家E6、E12)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aeaaa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三、清氣相4.洗身軀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Ab-Ⅱ-1 語詞運用。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Ab-Ⅱ-3 方音差異。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Bg-Ⅱ-2 口語表達。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1-Ⅱ-1 能應用閩南語標音符號、羅馬字及漢字，協助聆聽理解。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1-Ⅱ-3 能聆聽並理解對方所說的閩南語。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3-Ⅱ-1 能閱讀日常生活中常見的閩南語文，並了解其意義。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實作評量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aeaaa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課綱：閩南語-家庭(家E6、E12)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■線上教學</w:t>
                </w:r>
              </w:sdtContent>
            </w:sdt>
          </w:p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回家觀看教育平台相關影片，並於課堂進行發表</w:t>
                </w:r>
              </w:sdtContent>
            </w:sdt>
          </w:p>
          <w:p w:rsidR="00000000" w:rsidDel="00000000" w:rsidP="00000000" w:rsidRDefault="00000000" w:rsidRPr="00000000" w14:paraId="00000100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三、清氣相4.洗身軀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閩-E-A2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Aa-Ⅱ-1 羅馬拼音。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Ab-Ⅱ-1 語詞運用。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Bg-Ⅱ-1 生活應對。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Bg-Ⅱ-2 口語表達。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1-Ⅱ-1 能應用閩南語標音符號、羅馬字及漢字，協助聆聽理解。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3-Ⅱ-1 能閱讀日常生活中常見的閩南語文，並了解其意義。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4-Ⅱ-1 能運用閩南語文簡單寫出自己的感受與需求。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態度評量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實作評量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aeaaa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課綱：閩南語-家庭(家E6、E12)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aeaaa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三、清氣相4.洗身軀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閩-E-B1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Aa-Ⅱ-1 羅馬拼音。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Aa-Ⅱ-2 漢字書寫。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Ab-Ⅱ-1 語詞運用。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Bg-Ⅱ-2 口語表達。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3-Ⅱ-1 能閱讀日常生活中常見的閩南語文，並了解其意義。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4-Ⅱ-1 能運用閩南語文簡單寫出自己的感受與需求。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實作評量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aeaaa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課綱：閩南語-家庭(家E6、E12)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三、清氣相5.摒掃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閩-E-A1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Aa-Ⅱ-2 漢字書寫。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Ab-Ⅱ-3 方音差異。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Ac-Ⅱ-1 生活故事。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Bg-Ⅱ-2 口語表達。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1-Ⅱ-1 能應用閩南語標音符號、羅馬字及漢字，協助聆聽理解。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2-Ⅱ-2 能用閩南語簡單說出日常生活計畫。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3-Ⅱ-1 能閱讀日常生活中常見的閩南語文，並了解其意義。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態度評量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aeaaa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課綱：閩南語-品德(品E1、E3)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aeaaa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三、清氣相5.摒掃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閩-E-C1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Aa-Ⅱ-2 漢字書寫。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Ab-Ⅱ-1 語詞運用。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Ab-Ⅱ-3 方音差異。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Bg-Ⅱ-2 口語表達。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1-Ⅱ-1 能應用閩南語標音符號、羅馬字及漢字，協助聆聽理解。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3-Ⅱ-1 能閱讀日常生活中常見的閩南語文，並了解其意義。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實作評量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aeaaa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課綱：閩南語-品德(品E1、E3)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三、清氣相5.摒掃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閩-E-B1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Aa-Ⅱ-1 羅馬拼音。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Aa-Ⅱ-2 漢字書寫。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Ab-Ⅱ-1 語詞運用。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Ab-Ⅱ-2 句型運用。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1-Ⅱ-1 能應用閩南語標音符號、羅馬字及漢字，協助聆聽理解。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2-Ⅱ-1 能運用閩南語的標音符號、羅馬字及漢字，協助口語表達。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3-Ⅱ-1 能閱讀日常生活中常見的閩南語文，並了解其意義。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4-Ⅱ-1 能運用閩南語文簡單寫出自己的感受與需求。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態度評量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aeaaa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課綱：閩南語-品德(品E1、E3)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■線上教學</w:t>
                </w:r>
              </w:sdtContent>
            </w:sdt>
          </w:p>
          <w:p w:rsidR="00000000" w:rsidDel="00000000" w:rsidP="00000000" w:rsidRDefault="00000000" w:rsidRPr="00000000" w14:paraId="000001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回家觀看教育平台相關影片，並於課堂進行發表</w:t>
                </w:r>
              </w:sdtContent>
            </w:sdt>
          </w:p>
          <w:p w:rsidR="00000000" w:rsidDel="00000000" w:rsidP="00000000" w:rsidRDefault="00000000" w:rsidRPr="00000000" w14:paraId="00000153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三、清氣相5.摒掃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閩-E-C1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Aa-Ⅱ-2 漢字書寫。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Ab-Ⅱ-1 語詞運用。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Bd-Ⅱ-1 環境保護。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Bg-Ⅱ-2 口語表達。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1-Ⅱ-1 能應用閩南語標音符號、羅馬字及漢字，協助聆聽理解。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2-Ⅱ-2 能用閩南語簡單說出日常生活計畫。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3-Ⅱ-1 能閱讀日常生活中常見的閩南語文，並了解其意義。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4-Ⅱ-1 能運用閩南語文簡單寫出自己的感受與需求。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實作評量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漢字書寫評量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aeaaa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課綱：閩南語-品德(品E1、E3)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aeaaa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三、清氣相5.摒掃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閩-E-B1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Aa-Ⅱ-1 羅馬拼音。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Aa-Ⅱ-2 漢字書寫。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Ac-Ⅱ-1 生活故事。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Bg-Ⅱ-2 口語表達。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1-Ⅱ-1 能應用閩南語標音符號、羅馬字及漢字，協助聆聽理解。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1-Ⅱ-3 能聆聽並理解對方所說的閩南語。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2-Ⅱ-1 能運用閩南語的標音符號、羅馬字及漢字，協助口語表達。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態度評量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實作評量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聆聽評量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aeaaa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課綱：閩南語-品德(品E1、E3)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註1：若為一個單元或主題跨數週實施，可合併欄位書寫。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註2：「議題融入」中「法定議題」為必要項目，課綱議題則為鼓勵填寫。(例：法定/課綱：領域-議題-(議題實質內涵代碼)-時數)。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（一）法定議題：依每學年度核定函辦理。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64" w:right="0" w:hanging="1764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（二）課綱議題：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性別平等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環境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海洋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家庭教育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、人權、品德、生命、法治、科技、資訊、能源、安全、防災、生涯規劃、多元文化、閱讀素養、戶外教育、國際教育、原住民族教育。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62" w:right="0" w:hanging="1762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（三）請與附件参-2(e-2)「法律規定教育議題或重要宣導融入課程規劃檢核表」相對照。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3"/>
          <w:szCs w:val="23"/>
          <w:u w:val="singl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3"/>
          <w:szCs w:val="23"/>
          <w:u w:val="none"/>
          <w:shd w:fill="auto" w:val="clear"/>
          <w:vertAlign w:val="baseline"/>
          <w:rtl w:val="0"/>
        </w:rPr>
        <w:t xml:space="preserve">註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70c0"/>
          <w:sz w:val="23"/>
          <w:szCs w:val="23"/>
          <w:u w:val="none"/>
          <w:shd w:fill="auto" w:val="clear"/>
          <w:vertAlign w:val="baseline"/>
          <w:rtl w:val="0"/>
        </w:rPr>
        <w:t xml:space="preserve">3)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3"/>
          <w:szCs w:val="23"/>
          <w:u w:val="none"/>
          <w:shd w:fill="auto" w:val="clear"/>
          <w:vertAlign w:val="baseline"/>
          <w:rtl w:val="0"/>
        </w:rPr>
        <w:t xml:space="preserve">：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ff0000"/>
          <w:sz w:val="23"/>
          <w:szCs w:val="23"/>
          <w:u w:val="single"/>
          <w:shd w:fill="auto" w:val="clear"/>
          <w:vertAlign w:val="baseline"/>
          <w:rtl w:val="0"/>
        </w:rPr>
        <w:t xml:space="preserve">六年級第二學期須規劃學生畢業考後至畢業前課程活動之安排。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99" w:right="0" w:hanging="5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ff0000"/>
          <w:sz w:val="23"/>
          <w:szCs w:val="23"/>
          <w:u w:val="single"/>
          <w:shd w:fill="auto" w:val="clear"/>
          <w:vertAlign w:val="baseline"/>
          <w:rtl w:val="0"/>
        </w:rPr>
        <w:t xml:space="preserve">註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70c0"/>
          <w:sz w:val="23"/>
          <w:szCs w:val="23"/>
          <w:u w:val="single"/>
          <w:shd w:fill="auto" w:val="clear"/>
          <w:vertAlign w:val="baseline"/>
          <w:rtl w:val="0"/>
        </w:rPr>
        <w:t xml:space="preserve">4)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3"/>
          <w:szCs w:val="23"/>
          <w:u w:val="none"/>
          <w:shd w:fill="auto" w:val="clear"/>
          <w:vertAlign w:val="baseline"/>
          <w:rtl w:val="0"/>
        </w:rPr>
        <w:t xml:space="preserve">：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ff0000"/>
          <w:sz w:val="23"/>
          <w:szCs w:val="23"/>
          <w:u w:val="none"/>
          <w:shd w:fill="auto" w:val="clear"/>
          <w:vertAlign w:val="baseline"/>
          <w:rtl w:val="0"/>
        </w:rPr>
        <w:t xml:space="preserve">評量方式撰寫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請參採「國民小學及國民中學學生成績評量準則」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第五條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：國民中小學學生成績評量，應依第三條規定，並視學生身心發展、個別差異、文化差異及核心素養內涵，採取下列適當之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多元評量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方式：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75" w:right="0" w:hanging="2309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一、紙筆測驗及表單：依重要知識與概念性目標，及學習興趣、動機與態度等情意目標，採用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3"/>
          <w:szCs w:val="23"/>
          <w:u w:val="none"/>
          <w:shd w:fill="auto" w:val="clear"/>
          <w:vertAlign w:val="baseline"/>
          <w:rtl w:val="0"/>
        </w:rPr>
        <w:t xml:space="preserve">學習單、習作作業、紙筆測驗、問卷、檢核表、評定量表或其他方式。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97" w:right="0" w:hanging="1631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二、實作評量：依問題解決、技能、參與實踐及言行表現目標，採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3"/>
          <w:szCs w:val="23"/>
          <w:u w:val="none"/>
          <w:shd w:fill="auto" w:val="clear"/>
          <w:vertAlign w:val="baseline"/>
          <w:rtl w:val="0"/>
        </w:rPr>
        <w:t xml:space="preserve">書面報告、口頭報告、聽力與口語溝通、實際操作、作品製作、展演、鑑賞、行為觀察或其他方式。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97" w:right="0" w:hanging="1631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三、檔案評量：依學習目標，指導學生本於目的導向系統性彙整之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3"/>
          <w:szCs w:val="23"/>
          <w:u w:val="none"/>
          <w:shd w:fill="auto" w:val="clear"/>
          <w:vertAlign w:val="baseline"/>
          <w:rtl w:val="0"/>
        </w:rPr>
        <w:t xml:space="preserve">表單、測驗、表現評量與其他資料及相關紀錄，製成檔案，展現其學習歷程及成果。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7" w:right="0" w:hanging="575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3"/>
          <w:szCs w:val="23"/>
          <w:u w:val="none"/>
          <w:shd w:fill="auto" w:val="clear"/>
          <w:vertAlign w:val="baseline"/>
          <w:rtl w:val="0"/>
        </w:rPr>
        <w:t xml:space="preserve">註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70c0"/>
          <w:sz w:val="23"/>
          <w:szCs w:val="23"/>
          <w:u w:val="none"/>
          <w:shd w:fill="auto" w:val="clear"/>
          <w:vertAlign w:val="baseline"/>
          <w:rtl w:val="0"/>
        </w:rPr>
        <w:t xml:space="preserve">5)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3"/>
          <w:szCs w:val="23"/>
          <w:u w:val="none"/>
          <w:shd w:fill="auto" w:val="clear"/>
          <w:vertAlign w:val="baseline"/>
          <w:rtl w:val="0"/>
        </w:rPr>
        <w:t xml:space="preserve">：依據「高雄市高級中等以下學校線上教學計畫」第七點所示：「鼓勵學校於各領域課程計畫規劃時，每學期至少實施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70c0"/>
          <w:sz w:val="23"/>
          <w:szCs w:val="23"/>
          <w:u w:val="none"/>
          <w:shd w:fill="auto" w:val="clear"/>
          <w:vertAlign w:val="baseline"/>
          <w:rtl w:val="0"/>
        </w:rPr>
        <w:t xml:space="preserve">3)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3"/>
          <w:szCs w:val="23"/>
          <w:u w:val="none"/>
          <w:shd w:fill="auto" w:val="clear"/>
          <w:vertAlign w:val="baseline"/>
          <w:rtl w:val="0"/>
        </w:rPr>
        <w:t xml:space="preserve">次線上教學」，請各校於每學期各領域/科目課程計畫「線上教學」欄，註明預計實施線上教學之進度。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1021" w:top="1021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suppressAutoHyphens w:val="1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頁首">
    <w:name w:val="頁首"/>
    <w:basedOn w:val="內文"/>
    <w:next w:val="頁首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hAnsi="Times New Roman"/>
      <w:w w:val="100"/>
      <w:kern w:val="3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首字元">
    <w:name w:val="頁首 字元"/>
    <w:next w:val="頁首字元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頁尾">
    <w:name w:val="頁尾"/>
    <w:basedOn w:val="內文"/>
    <w:next w:val="頁尾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hAnsi="Times New Roman"/>
      <w:w w:val="100"/>
      <w:kern w:val="3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尾字元">
    <w:name w:val="頁尾 字元"/>
    <w:next w:val="頁尾字元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頁碼">
    <w:name w:val="頁碼"/>
    <w:basedOn w:val="預設段落字型"/>
    <w:next w:val="頁碼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清單段落">
    <w:name w:val="清單段落"/>
    <w:basedOn w:val="內文"/>
    <w:next w:val="清單段落"/>
    <w:autoRedefine w:val="0"/>
    <w:hidden w:val="0"/>
    <w:qFormat w:val="0"/>
    <w:pPr>
      <w:suppressAutoHyphens w:val="0"/>
      <w:autoSpaceDN w:val="0"/>
      <w:spacing w:line="1" w:lineRule="atLeast"/>
      <w:ind w:left="480" w:leftChars="-1" w:rightChars="0" w:firstLineChars="-1"/>
      <w:textDirection w:val="btLr"/>
      <w:textAlignment w:val="baseline"/>
      <w:outlineLvl w:val="0"/>
    </w:pPr>
    <w:rPr>
      <w:rFonts w:ascii="Times New Roman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註解參照">
    <w:name w:val="註解參照"/>
    <w:next w:val="註解參照"/>
    <w:autoRedefine w:val="0"/>
    <w:hidden w:val="0"/>
    <w:qFormat w:val="0"/>
    <w:rPr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註解文字">
    <w:name w:val="註解文字"/>
    <w:basedOn w:val="內文"/>
    <w:next w:val="註解文字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註解文字字元">
    <w:name w:val="註解文字 字元"/>
    <w:next w:val="註解文字字元"/>
    <w:autoRedefine w:val="0"/>
    <w:hidden w:val="0"/>
    <w:qFormat w:val="0"/>
    <w:rPr>
      <w:rFonts w:ascii="Times New Roman" w:cs="Times New Roman" w:eastAsia="新細明體" w:hAnsi="Times New Roman"/>
      <w:w w:val="100"/>
      <w:position w:val="-1"/>
      <w:szCs w:val="24"/>
      <w:effect w:val="none"/>
      <w:vertAlign w:val="baseline"/>
      <w:cs w:val="0"/>
      <w:em w:val="none"/>
      <w:lang/>
    </w:rPr>
  </w:style>
  <w:style w:type="paragraph" w:styleId="註解主旨">
    <w:name w:val="註解主旨"/>
    <w:basedOn w:val="註解文字"/>
    <w:next w:val="註解文字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hAnsi="Times New Roman"/>
      <w:b w:val="1"/>
      <w:bCs w:val="1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註解主旨字元">
    <w:name w:val="註解主旨 字元"/>
    <w:next w:val="註解主旨字元"/>
    <w:autoRedefine w:val="0"/>
    <w:hidden w:val="0"/>
    <w:qFormat w:val="0"/>
    <w:rPr>
      <w:rFonts w:ascii="Times New Roman" w:cs="Times New Roman" w:eastAsia="新細明體" w:hAnsi="Times New Roman"/>
      <w:b w:val="1"/>
      <w:bCs w:val="1"/>
      <w:w w:val="100"/>
      <w:position w:val="-1"/>
      <w:szCs w:val="24"/>
      <w:effect w:val="none"/>
      <w:vertAlign w:val="baseline"/>
      <w:cs w:val="0"/>
      <w:em w:val="none"/>
      <w:lang/>
    </w:rPr>
  </w:style>
  <w:style w:type="paragraph" w:styleId="註解方塊文字">
    <w:name w:val="註解方塊文字"/>
    <w:basedOn w:val="內文"/>
    <w:next w:val="註解方塊文字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Calibri Light" w:hAnsi="Calibri Light"/>
      <w:w w:val="100"/>
      <w:kern w:val="3"/>
      <w:position w:val="-1"/>
      <w:sz w:val="18"/>
      <w:szCs w:val="18"/>
      <w:effect w:val="none"/>
      <w:vertAlign w:val="baseline"/>
      <w:cs w:val="0"/>
      <w:em w:val="none"/>
      <w:lang w:bidi="ar-SA" w:eastAsia="zh-TW" w:val="en-US"/>
    </w:rPr>
  </w:style>
  <w:style w:type="character" w:styleId="註解方塊文字字元">
    <w:name w:val="註解方塊文字 字元"/>
    <w:next w:val="註解方塊文字字元"/>
    <w:autoRedefine w:val="0"/>
    <w:hidden w:val="0"/>
    <w:qFormat w:val="0"/>
    <w:rPr>
      <w:rFonts w:ascii="Calibri Light" w:cs="Times New Roman" w:eastAsia="新細明體" w:hAnsi="Calibri Light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彩色清單-輔色11">
    <w:name w:val="彩色清單 - 輔色 11"/>
    <w:basedOn w:val="內文"/>
    <w:next w:val="彩色清單-輔色11"/>
    <w:autoRedefine w:val="0"/>
    <w:hidden w:val="0"/>
    <w:qFormat w:val="0"/>
    <w:pPr>
      <w:suppressAutoHyphens w:val="0"/>
      <w:autoSpaceDN w:val="0"/>
      <w:spacing w:line="1" w:lineRule="atLeast"/>
      <w:ind w:left="480" w:leftChars="-1" w:rightChars="0" w:firstLineChars="-1"/>
      <w:textDirection w:val="btLr"/>
      <w:textAlignment w:val="baseline"/>
      <w:outlineLvl w:val="0"/>
    </w:pPr>
    <w:rPr>
      <w:rFonts w:ascii="Calibri" w:hAnsi="Calibri"/>
      <w:w w:val="100"/>
      <w:kern w:val="3"/>
      <w:position w:val="-1"/>
      <w:sz w:val="24"/>
      <w:szCs w:val="22"/>
      <w:effect w:val="none"/>
      <w:vertAlign w:val="baseline"/>
      <w:cs w:val="0"/>
      <w:em w:val="none"/>
      <w:lang w:bidi="ar-SA" w:eastAsia="zh-TW" w:val="en-US"/>
    </w:rPr>
  </w:style>
  <w:style w:type="paragraph" w:styleId="內文(Web)">
    <w:name w:val="內文 (Web)"/>
    <w:basedOn w:val="內文"/>
    <w:next w:val="內文(Web)"/>
    <w:autoRedefine w:val="0"/>
    <w:hidden w:val="0"/>
    <w:qFormat w:val="0"/>
    <w:pPr>
      <w:suppressAutoHyphens w:val="0"/>
      <w:autoSpaceDN w:val="0"/>
      <w:spacing w:after="100" w:before="100" w:line="1" w:lineRule="atLeast"/>
      <w:ind w:leftChars="-1" w:rightChars="0" w:firstLineChars="-1"/>
      <w:textDirection w:val="btLr"/>
      <w:textAlignment w:val="baseline"/>
      <w:outlineLvl w:val="0"/>
    </w:pPr>
    <w:rPr>
      <w:rFonts w:ascii="新細明體" w:eastAsia="標楷體" w:hAnsi="新細明體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TableParagraph">
    <w:name w:val="Table Paragraph"/>
    <w:basedOn w:val="內文"/>
    <w:next w:val="TableParagraph"/>
    <w:autoRedefine w:val="0"/>
    <w:hidden w:val="0"/>
    <w:qFormat w:val="0"/>
    <w:pPr>
      <w:suppressAutoHyphens w:val="0"/>
      <w:autoSpaceDE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細明體" w:cs="細明體" w:eastAsia="細明體" w:hAnsi="細明體"/>
      <w:w w:val="100"/>
      <w:kern w:val="0"/>
      <w:position w:val="-1"/>
      <w:sz w:val="22"/>
      <w:szCs w:val="22"/>
      <w:effect w:val="none"/>
      <w:vertAlign w:val="baseline"/>
      <w:cs w:val="0"/>
      <w:em w:val="none"/>
      <w:lang w:bidi="zh-TW" w:eastAsia="zh-TW" w:val="zh-TW"/>
    </w:rPr>
  </w:style>
  <w:style w:type="character" w:styleId="超連結">
    <w:name w:val="超連結"/>
    <w:next w:val="超連結"/>
    <w:autoRedefine w:val="0"/>
    <w:hidden w:val="0"/>
    <w:qFormat w:val="0"/>
    <w:rPr>
      <w:dstrike w:val="0"/>
      <w:color w:val="156f82"/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清單段落字元">
    <w:name w:val="清單段落 字元"/>
    <w:next w:val="清單段落字元"/>
    <w:autoRedefine w:val="0"/>
    <w:hidden w:val="0"/>
    <w:qFormat w:val="0"/>
    <w:rPr>
      <w:rFonts w:ascii="Times New Roman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本文">
    <w:name w:val="本文"/>
    <w:basedOn w:val="內文"/>
    <w:next w:val="本文"/>
    <w:autoRedefine w:val="0"/>
    <w:hidden w:val="0"/>
    <w:qFormat w:val="0"/>
    <w:pPr>
      <w:suppressAutoHyphens w:val="0"/>
      <w:autoSpaceDE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細明體" w:cs="細明體" w:eastAsia="細明體" w:hAnsi="細明體"/>
      <w:w w:val="100"/>
      <w:kern w:val="0"/>
      <w:position w:val="-1"/>
      <w:sz w:val="28"/>
      <w:szCs w:val="28"/>
      <w:effect w:val="none"/>
      <w:vertAlign w:val="baseline"/>
      <w:cs w:val="0"/>
      <w:em w:val="none"/>
      <w:lang w:bidi="zh-TW" w:eastAsia="zh-TW" w:val="zh-TW"/>
    </w:rPr>
  </w:style>
  <w:style w:type="character" w:styleId="本文字元">
    <w:name w:val="本文 字元"/>
    <w:next w:val="本文字元"/>
    <w:autoRedefine w:val="0"/>
    <w:hidden w:val="0"/>
    <w:qFormat w:val="0"/>
    <w:rPr>
      <w:rFonts w:ascii="細明體" w:cs="細明體" w:eastAsia="細明體" w:hAnsi="細明體"/>
      <w:w w:val="100"/>
      <w:position w:val="-1"/>
      <w:sz w:val="28"/>
      <w:szCs w:val="28"/>
      <w:effect w:val="none"/>
      <w:vertAlign w:val="baseline"/>
      <w:cs w:val="0"/>
      <w:em w:val="none"/>
      <w:lang w:bidi="zh-TW" w:val="zh-TW"/>
    </w:rPr>
  </w:style>
  <w:style w:type="table" w:styleId="表格格線">
    <w:name w:val="表格格線"/>
    <w:basedOn w:val="表格內文"/>
    <w:next w:val="表格格線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格格線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無間距">
    <w:name w:val="無間距"/>
    <w:next w:val="無間距"/>
    <w:autoRedefine w:val="0"/>
    <w:hidden w:val="0"/>
    <w:qFormat w:val="0"/>
    <w:pPr>
      <w:suppressAutoHyphens w:val="1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Default">
    <w:name w:val="Default"/>
    <w:next w:val="Defaul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標楷體" w:cs="標楷體" w:eastAsia="標楷體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強調粗體">
    <w:name w:val="強調粗體"/>
    <w:next w:val="強調粗體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Pa2">
    <w:name w:val="Pa2"/>
    <w:basedOn w:val="內文"/>
    <w:next w:val="內文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284" w:lineRule="atLeast"/>
      <w:ind w:leftChars="-1" w:rightChars="0" w:firstLineChars="-1"/>
      <w:textDirection w:val="btLr"/>
      <w:textAlignment w:val="auto"/>
      <w:outlineLvl w:val="0"/>
    </w:pPr>
    <w:rPr>
      <w:rFonts w:ascii="華康標宋體,." w:eastAsia="華康標宋體,." w:hAnsi="Times New Roman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AysEjkOzhAXWX48eOQSgLQ7AZQ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4AHIhMWo3aURlT3hqbEZUWHlDRDVBU19OYWFOMXoyM0JBV1V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2023-05-29T06:18:00Z</dcterms:created>
  <dc:creator>lisa wang</dc:creator>
</cp:coreProperties>
</file>