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8A" w:rsidRDefault="00B44A1B">
      <w:pPr>
        <w:rPr>
          <w:rFonts w:ascii="標楷體" w:eastAsia="標楷體" w:hAnsi="標楷體" w:cs="標楷體"/>
        </w:rPr>
      </w:pPr>
      <w:bookmarkStart w:id="0" w:name="_GoBack"/>
      <w:bookmarkEnd w:id="0"/>
      <w:r>
        <w:rPr>
          <w:rFonts w:ascii="標楷體" w:eastAsia="標楷體" w:hAnsi="標楷體" w:cs="標楷體"/>
        </w:rPr>
        <w:t>附件伍</w:t>
      </w:r>
      <w:r>
        <w:rPr>
          <w:rFonts w:ascii="標楷體" w:eastAsia="標楷體" w:hAnsi="標楷體" w:cs="標楷體"/>
        </w:rPr>
        <w:t>-1</w:t>
      </w:r>
    </w:p>
    <w:p w:rsidR="00410D8A" w:rsidRDefault="00B44A1B">
      <w:pPr>
        <w:widowControl w:val="0"/>
        <w:jc w:val="center"/>
        <w:rPr>
          <w:rFonts w:ascii="標楷體" w:eastAsia="標楷體" w:hAnsi="標楷體" w:cs="標楷體"/>
          <w:b/>
        </w:rPr>
      </w:pPr>
      <w:r>
        <w:rPr>
          <w:rFonts w:ascii="標楷體" w:eastAsia="標楷體" w:hAnsi="標楷體" w:cs="標楷體"/>
          <w:b/>
        </w:rPr>
        <w:t>高雄市岡山區前峰國小六年級第二學期部定課程【自然科學領域】課程計畫</w:t>
      </w:r>
      <w:r>
        <w:rPr>
          <w:rFonts w:ascii="標楷體" w:eastAsia="標楷體" w:hAnsi="標楷體" w:cs="標楷體"/>
          <w:b/>
        </w:rPr>
        <w:t>(</w:t>
      </w:r>
      <w:r>
        <w:rPr>
          <w:rFonts w:ascii="標楷體" w:eastAsia="標楷體" w:hAnsi="標楷體" w:cs="標楷體"/>
          <w:b/>
        </w:rPr>
        <w:t>新課綱</w:t>
      </w:r>
      <w:r>
        <w:rPr>
          <w:rFonts w:ascii="標楷體" w:eastAsia="標楷體" w:hAnsi="標楷體" w:cs="標楷體"/>
          <w:b/>
        </w:rPr>
        <w:t>)</w:t>
      </w:r>
    </w:p>
    <w:tbl>
      <w:tblPr>
        <w:tblStyle w:val="afd"/>
        <w:tblW w:w="15450" w:type="dxa"/>
        <w:jc w:val="center"/>
        <w:tblInd w:w="0" w:type="dxa"/>
        <w:tblLayout w:type="fixed"/>
        <w:tblLook w:val="0400" w:firstRow="0" w:lastRow="0" w:firstColumn="0" w:lastColumn="0" w:noHBand="0" w:noVBand="1"/>
      </w:tblPr>
      <w:tblGrid>
        <w:gridCol w:w="855"/>
        <w:gridCol w:w="1500"/>
        <w:gridCol w:w="1470"/>
        <w:gridCol w:w="2565"/>
        <w:gridCol w:w="3811"/>
        <w:gridCol w:w="1418"/>
        <w:gridCol w:w="1276"/>
        <w:gridCol w:w="995"/>
        <w:gridCol w:w="1560"/>
      </w:tblGrid>
      <w:tr w:rsidR="00410D8A">
        <w:trPr>
          <w:trHeight w:val="487"/>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週次</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單元</w:t>
            </w:r>
            <w:r>
              <w:rPr>
                <w:rFonts w:ascii="標楷體" w:eastAsia="標楷體" w:hAnsi="標楷體" w:cs="標楷體"/>
              </w:rPr>
              <w:t>/</w:t>
            </w:r>
            <w:r>
              <w:rPr>
                <w:rFonts w:ascii="標楷體" w:eastAsia="標楷體" w:hAnsi="標楷體" w:cs="標楷體"/>
              </w:rPr>
              <w:t>主題名稱</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對應領域</w:t>
            </w:r>
          </w:p>
          <w:p w:rsidR="00410D8A" w:rsidRDefault="00B44A1B">
            <w:pPr>
              <w:jc w:val="center"/>
              <w:rPr>
                <w:rFonts w:ascii="標楷體" w:eastAsia="標楷體" w:hAnsi="標楷體" w:cs="標楷體"/>
              </w:rPr>
            </w:pPr>
            <w:r>
              <w:rPr>
                <w:rFonts w:ascii="標楷體" w:eastAsia="標楷體" w:hAnsi="標楷體" w:cs="標楷體"/>
              </w:rPr>
              <w:t>核心素養指標</w:t>
            </w:r>
          </w:p>
        </w:tc>
        <w:tc>
          <w:tcPr>
            <w:tcW w:w="63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學習重點</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評量方式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議題融入</w:t>
            </w:r>
          </w:p>
        </w:tc>
        <w:tc>
          <w:tcPr>
            <w:tcW w:w="995" w:type="dxa"/>
            <w:vMerge w:val="restart"/>
            <w:tcBorders>
              <w:top w:val="single" w:sz="4" w:space="0" w:color="000000"/>
              <w:left w:val="single" w:sz="4" w:space="0" w:color="000000"/>
              <w:right w:val="single" w:sz="4" w:space="0" w:color="000000"/>
            </w:tcBorders>
            <w:vAlign w:val="center"/>
          </w:tcPr>
          <w:p w:rsidR="00410D8A" w:rsidRDefault="00B44A1B">
            <w:pPr>
              <w:jc w:val="center"/>
              <w:rPr>
                <w:rFonts w:ascii="標楷體" w:eastAsia="標楷體" w:hAnsi="標楷體" w:cs="標楷體"/>
              </w:rPr>
            </w:pPr>
            <w:r>
              <w:rPr>
                <w:rFonts w:ascii="標楷體" w:eastAsia="標楷體" w:hAnsi="標楷體" w:cs="標楷體"/>
              </w:rPr>
              <w:t>線上教學</w:t>
            </w:r>
          </w:p>
        </w:tc>
        <w:tc>
          <w:tcPr>
            <w:tcW w:w="1560" w:type="dxa"/>
            <w:vMerge w:val="restart"/>
            <w:tcBorders>
              <w:top w:val="single" w:sz="4" w:space="0" w:color="000000"/>
              <w:left w:val="single" w:sz="4" w:space="0" w:color="000000"/>
              <w:right w:val="single" w:sz="4" w:space="0" w:color="000000"/>
            </w:tcBorders>
          </w:tcPr>
          <w:p w:rsidR="00410D8A" w:rsidRDefault="00B44A1B">
            <w:pPr>
              <w:jc w:val="center"/>
              <w:rPr>
                <w:rFonts w:ascii="標楷體" w:eastAsia="標楷體" w:hAnsi="標楷體" w:cs="標楷體"/>
              </w:rPr>
            </w:pPr>
            <w:r>
              <w:rPr>
                <w:rFonts w:ascii="標楷體" w:eastAsia="標楷體" w:hAnsi="標楷體" w:cs="標楷體"/>
              </w:rPr>
              <w:t>跨領域統整或</w:t>
            </w:r>
          </w:p>
          <w:p w:rsidR="00410D8A" w:rsidRDefault="00B44A1B">
            <w:pPr>
              <w:jc w:val="center"/>
              <w:rPr>
                <w:rFonts w:ascii="標楷體" w:eastAsia="標楷體" w:hAnsi="標楷體" w:cs="標楷體"/>
              </w:rPr>
            </w:pPr>
            <w:r>
              <w:rPr>
                <w:rFonts w:ascii="標楷體" w:eastAsia="標楷體" w:hAnsi="標楷體" w:cs="標楷體"/>
              </w:rPr>
              <w:t>協同教學規劃</w:t>
            </w:r>
            <w:r>
              <w:rPr>
                <w:rFonts w:ascii="標楷體" w:eastAsia="標楷體" w:hAnsi="標楷體" w:cs="標楷體"/>
                <w:color w:val="4472C4"/>
              </w:rPr>
              <w:t>及線上教學規劃</w:t>
            </w:r>
          </w:p>
          <w:p w:rsidR="00410D8A" w:rsidRDefault="00B44A1B">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無則免填</w:t>
            </w:r>
            <w:r>
              <w:rPr>
                <w:rFonts w:ascii="標楷體" w:eastAsia="標楷體" w:hAnsi="標楷體" w:cs="標楷體"/>
              </w:rPr>
              <w:t>)</w:t>
            </w:r>
          </w:p>
        </w:tc>
      </w:tr>
      <w:tr w:rsidR="00410D8A">
        <w:trPr>
          <w:trHeight w:val="590"/>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學習內容</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學習表現</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995" w:type="dxa"/>
            <w:vMerge/>
            <w:tcBorders>
              <w:top w:val="single" w:sz="4" w:space="0" w:color="000000"/>
              <w:left w:val="single" w:sz="4" w:space="0" w:color="000000"/>
              <w:right w:val="single" w:sz="4" w:space="0" w:color="000000"/>
            </w:tcBorders>
            <w:vAlign w:val="center"/>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c>
          <w:tcPr>
            <w:tcW w:w="1560" w:type="dxa"/>
            <w:vMerge/>
            <w:tcBorders>
              <w:top w:val="single" w:sz="4" w:space="0" w:color="000000"/>
              <w:left w:val="single" w:sz="4" w:space="0" w:color="000000"/>
              <w:right w:val="single" w:sz="4" w:space="0" w:color="000000"/>
            </w:tcBorders>
          </w:tcPr>
          <w:p w:rsidR="00410D8A" w:rsidRDefault="00410D8A">
            <w:pPr>
              <w:widowControl w:val="0"/>
              <w:pBdr>
                <w:top w:val="nil"/>
                <w:left w:val="nil"/>
                <w:bottom w:val="nil"/>
                <w:right w:val="nil"/>
                <w:between w:val="nil"/>
              </w:pBdr>
              <w:spacing w:line="276" w:lineRule="auto"/>
              <w:rPr>
                <w:rFonts w:ascii="標楷體" w:eastAsia="標楷體" w:hAnsi="標楷體" w:cs="標楷體"/>
              </w:rPr>
            </w:pPr>
          </w:p>
        </w:tc>
      </w:tr>
      <w:tr w:rsidR="00410D8A">
        <w:trPr>
          <w:trHeight w:val="443"/>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槓桿</w:t>
            </w:r>
          </w:p>
        </w:tc>
        <w:tc>
          <w:tcPr>
            <w:tcW w:w="14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5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INb-III-4 </w:t>
            </w:r>
            <w:r>
              <w:rPr>
                <w:rFonts w:ascii="標楷體" w:eastAsia="標楷體" w:hAnsi="標楷體" w:cs="標楷體"/>
              </w:rPr>
              <w:t>力可藉由簡單機械傳遞。</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 </w:t>
            </w:r>
            <w:r>
              <w:rPr>
                <w:rFonts w:ascii="標楷體" w:eastAsia="標楷體" w:hAnsi="標楷體" w:cs="標楷體"/>
              </w:rPr>
              <w:t>生活及探究中常用的測量工具和方法。</w:t>
            </w:r>
          </w:p>
        </w:tc>
        <w:tc>
          <w:tcPr>
            <w:tcW w:w="381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po-III-1 </w:t>
            </w:r>
            <w:r>
              <w:rPr>
                <w:rFonts w:ascii="標楷體" w:eastAsia="標楷體" w:hAnsi="標楷體" w:cs="標楷體"/>
              </w:rPr>
              <w:t>能從學習活動、日常經驗及科技運用、自然環境、書刊及網路媒體等察覺問題。</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tc>
        <w:tc>
          <w:tcPr>
            <w:tcW w:w="1418" w:type="dxa"/>
            <w:tcBorders>
              <w:top w:val="single" w:sz="6" w:space="0" w:color="000000"/>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color w:val="FF0000"/>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2</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槓桿</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INc-III-3 </w:t>
            </w:r>
            <w:r>
              <w:rPr>
                <w:rFonts w:ascii="標楷體" w:eastAsia="標楷體" w:hAnsi="標楷體" w:cs="標楷體"/>
              </w:rPr>
              <w:t>本量與改變量不同，由兩者的比例可評估變化的程度。</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INc-III-4 </w:t>
            </w:r>
            <w:r>
              <w:rPr>
                <w:rFonts w:ascii="標楷體" w:eastAsia="標楷體" w:hAnsi="標楷體" w:cs="標楷體"/>
              </w:rPr>
              <w:t>對相同事物做多次測量，其結果間可能有差異，差異越大表示測量越不精確。</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ah-III-2 </w:t>
            </w:r>
            <w:r>
              <w:rPr>
                <w:rFonts w:ascii="標楷體" w:eastAsia="標楷體" w:hAnsi="標楷體" w:cs="標楷體"/>
              </w:rPr>
              <w:t>透過科學探究活動解決一部分生活週遭的問題。</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color w:val="FF0000"/>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lastRenderedPageBreak/>
              <w:t>3</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輪軸</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-E-A3</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 </w:t>
            </w:r>
            <w:r>
              <w:rPr>
                <w:rFonts w:ascii="標楷體" w:eastAsia="標楷體" w:hAnsi="標楷體" w:cs="標楷體"/>
              </w:rPr>
              <w:t>生活及探究中常用的測量工具和方法。</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INc-III-3 </w:t>
            </w:r>
            <w:r>
              <w:rPr>
                <w:rFonts w:ascii="標楷體" w:eastAsia="標楷體" w:hAnsi="標楷體" w:cs="標楷體"/>
              </w:rPr>
              <w:t>本量與改變量不同，由兩者的比例可評估變化的程度。</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ai-III-1 </w:t>
            </w:r>
            <w:r>
              <w:rPr>
                <w:rFonts w:ascii="標楷體" w:eastAsia="標楷體" w:hAnsi="標楷體" w:cs="標楷體"/>
              </w:rPr>
              <w:t>透過科學探索了解現象發生的原因或機制，滿足好奇心。</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4</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輪軸</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-E-A3</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 </w:t>
            </w:r>
            <w:r>
              <w:rPr>
                <w:rFonts w:ascii="標楷體" w:eastAsia="標楷體" w:hAnsi="標楷體" w:cs="標楷體"/>
              </w:rPr>
              <w:t>生活及探究中常用的測量工具和方法。</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INc-III-3 </w:t>
            </w:r>
            <w:r>
              <w:rPr>
                <w:rFonts w:ascii="標楷體" w:eastAsia="標楷體" w:hAnsi="標楷體" w:cs="標楷體"/>
              </w:rPr>
              <w:t>本量與改變量不同，由兩者的比例可評估變化的程度。</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ai-III-1 </w:t>
            </w:r>
            <w:r>
              <w:rPr>
                <w:rFonts w:ascii="標楷體" w:eastAsia="標楷體" w:hAnsi="標楷體" w:cs="標楷體"/>
              </w:rPr>
              <w:t>透過科學探索了解現象發生的原因或機制，滿足好奇心。</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trHeight w:val="307"/>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5</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滑輪</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INc-III-3 </w:t>
            </w:r>
            <w:r>
              <w:rPr>
                <w:rFonts w:ascii="標楷體" w:eastAsia="標楷體" w:hAnsi="標楷體" w:cs="標楷體"/>
              </w:rPr>
              <w:t>本量與改變量不同，由兩者的比例可評估變化的程度。</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INc-III-4 </w:t>
            </w:r>
            <w:r>
              <w:rPr>
                <w:rFonts w:ascii="標楷體" w:eastAsia="標楷體" w:hAnsi="標楷體" w:cs="標楷體"/>
              </w:rPr>
              <w:t>對相同事物做多次測量，其結果間可能有差異，差</w:t>
            </w:r>
            <w:r>
              <w:rPr>
                <w:rFonts w:ascii="標楷體" w:eastAsia="標楷體" w:hAnsi="標楷體" w:cs="標楷體"/>
              </w:rPr>
              <w:lastRenderedPageBreak/>
              <w:t>異越大表示測量越不精確。</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lastRenderedPageBreak/>
              <w:t xml:space="preserve">po-III-1 </w:t>
            </w:r>
            <w:r>
              <w:rPr>
                <w:rFonts w:ascii="標楷體" w:eastAsia="標楷體" w:hAnsi="標楷體" w:cs="標楷體"/>
              </w:rPr>
              <w:t>能從學習活動、日常經驗及科技運用、自然環境、書刊及網路媒體等察覺問題。</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w:t>
            </w:r>
            <w:r>
              <w:rPr>
                <w:rFonts w:ascii="標楷體" w:eastAsia="標楷體" w:hAnsi="標楷體" w:cs="標楷體"/>
              </w:rPr>
              <w:lastRenderedPageBreak/>
              <w:t>或數值量測並詳實記錄。</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lastRenderedPageBreak/>
              <w:t>實際操作、行為觀察、習作作業、複習卷、評量卷</w:t>
            </w:r>
          </w:p>
          <w:p w:rsidR="00410D8A" w:rsidRDefault="00410D8A">
            <w:pPr>
              <w:widowControl w:val="0"/>
              <w:spacing w:before="240" w:after="240"/>
              <w:rPr>
                <w:rFonts w:ascii="標楷體" w:eastAsia="標楷體" w:hAnsi="標楷體" w:cs="標楷體"/>
              </w:rPr>
            </w:pP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lastRenderedPageBreak/>
              <w:t>6</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滑輪</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INb-III-4 </w:t>
            </w:r>
            <w:r>
              <w:rPr>
                <w:rFonts w:ascii="標楷體" w:eastAsia="標楷體" w:hAnsi="標楷體" w:cs="標楷體"/>
              </w:rPr>
              <w:t>力可藉由簡單機械傳遞。</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 </w:t>
            </w:r>
            <w:r>
              <w:rPr>
                <w:rFonts w:ascii="標楷體" w:eastAsia="標楷體" w:hAnsi="標楷體" w:cs="標楷體"/>
              </w:rPr>
              <w:t>生活及探究中常用的測量工具和方法。</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7</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一、簡單機械</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4.</w:t>
            </w:r>
            <w:r>
              <w:rPr>
                <w:rFonts w:ascii="標楷體" w:eastAsia="標楷體" w:hAnsi="標楷體" w:cs="標楷體"/>
              </w:rPr>
              <w:t>力的傳送</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-E-A3</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INb-III-4 </w:t>
            </w:r>
            <w:r>
              <w:rPr>
                <w:rFonts w:ascii="標楷體" w:eastAsia="標楷體" w:hAnsi="標楷體" w:cs="標楷體"/>
              </w:rPr>
              <w:t>力可藉由簡單機械傳遞。</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INc-III-4 </w:t>
            </w:r>
            <w:r>
              <w:rPr>
                <w:rFonts w:ascii="標楷體" w:eastAsia="標楷體" w:hAnsi="標楷體" w:cs="標楷體"/>
              </w:rPr>
              <w:t>對相同事物做多次測量，其結果間可能有差異，差異越大表示測量越不精確。</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ai-III-1 </w:t>
            </w:r>
            <w:r>
              <w:rPr>
                <w:rFonts w:ascii="標楷體" w:eastAsia="標楷體" w:hAnsi="標楷體" w:cs="標楷體"/>
              </w:rPr>
              <w:t>透過科學探索了解現象發生的原因或機制，滿足好奇心。</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8</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二、生活中的聲音</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有聲的世界</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 </w:t>
            </w:r>
            <w:r>
              <w:rPr>
                <w:rFonts w:ascii="標楷體" w:eastAsia="標楷體" w:hAnsi="標楷體" w:cs="標楷體"/>
              </w:rPr>
              <w:t>生活及探究中常用的測量工具和方法。</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INd-III-2 </w:t>
            </w:r>
            <w:r>
              <w:rPr>
                <w:rFonts w:ascii="標楷體" w:eastAsia="標楷體" w:hAnsi="標楷體" w:cs="標楷體"/>
              </w:rPr>
              <w:t>人類可以控制各種因素來影響</w:t>
            </w:r>
            <w:r>
              <w:rPr>
                <w:rFonts w:ascii="標楷體" w:eastAsia="標楷體" w:hAnsi="標楷體" w:cs="標楷體"/>
              </w:rPr>
              <w:lastRenderedPageBreak/>
              <w:t>物質或自然現象的改變，改變前後的差異可以被觀察，改變的快慢可以被測量與了解。</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INe-III-6 </w:t>
            </w:r>
            <w:r>
              <w:rPr>
                <w:rFonts w:ascii="標楷體" w:eastAsia="標楷體" w:hAnsi="標楷體" w:cs="標楷體"/>
              </w:rPr>
              <w:t>聲音有大小、高低與音色等不同性質，生活中聲音有樂音與噪音之分，噪音可以防治。</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lastRenderedPageBreak/>
              <w:t xml:space="preserve">tc-III-1 </w:t>
            </w:r>
            <w:r>
              <w:rPr>
                <w:rFonts w:ascii="標楷體" w:eastAsia="標楷體" w:hAnsi="標楷體" w:cs="標楷體"/>
              </w:rPr>
              <w:t>能就所蒐集的數據或資料，進行簡單的記錄與分類，並依據習得的知識，思考資料的正確性及辨別他人資訊與事實的差異。</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w:t>
            </w:r>
            <w:r>
              <w:rPr>
                <w:rFonts w:ascii="標楷體" w:eastAsia="標楷體" w:hAnsi="標楷體" w:cs="標楷體"/>
              </w:rPr>
              <w:lastRenderedPageBreak/>
              <w:t>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lastRenderedPageBreak/>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lastRenderedPageBreak/>
              <w:t>9</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二、生活中的聲音</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聲音的性質</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INe-III-6 </w:t>
            </w:r>
            <w:r>
              <w:rPr>
                <w:rFonts w:ascii="標楷體" w:eastAsia="標楷體" w:hAnsi="標楷體" w:cs="標楷體"/>
              </w:rPr>
              <w:t>聲音有大小、高低與音色等不同性質，生活中聲音有樂音與噪音之分，噪音可以防治。</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能將自己及他人所觀察、記錄的自然現象與習得的知識互相連結，察覺彼此間的關係，並提出自己的想法及知道與他人的差異。</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pa-III-2 </w:t>
            </w:r>
            <w:r>
              <w:rPr>
                <w:rFonts w:ascii="標楷體" w:eastAsia="標楷體" w:hAnsi="標楷體" w:cs="標楷體"/>
              </w:rPr>
              <w:t>能從（所得的）資訊或數據，形成解釋、發現新知、因果關係、解決問題或是發現新的問題。並能將自己的探究結果和他人的結果（例如：來自同學）比較對照，檢查相近探究是否有相近的結論。</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410D8A" w:rsidRDefault="00410D8A">
            <w:pPr>
              <w:widowControl w:val="0"/>
              <w:spacing w:before="240" w:after="240"/>
              <w:rPr>
                <w:rFonts w:ascii="標楷體" w:eastAsia="標楷體" w:hAnsi="標楷體" w:cs="標楷體"/>
              </w:rPr>
            </w:pP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10</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二、生活中的聲音</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聲音的性質</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INe-III-6 </w:t>
            </w:r>
            <w:r>
              <w:rPr>
                <w:rFonts w:ascii="標楷體" w:eastAsia="標楷體" w:hAnsi="標楷體" w:cs="標楷體"/>
              </w:rPr>
              <w:t>聲音有大小、高低與音色等不同性質，生活中聲音有樂音與噪音之分，噪音可以防治。</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能將自己及他人所觀察、記錄的自然現象與習得的知識互相連結，察覺彼此間的關係，並提出自己的想法及知道與他人的差異。</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pa-III-2 </w:t>
            </w:r>
            <w:r>
              <w:rPr>
                <w:rFonts w:ascii="標楷體" w:eastAsia="標楷體" w:hAnsi="標楷體" w:cs="標楷體"/>
              </w:rPr>
              <w:t>能從（所得的）資訊或數據，形成解釋、發現新知、因果關係、解決問題或是發現新的問題。並能將自己的探究結果和他人的結果（例如：來自同學）比較對照，檢查相近探究是否有相近的結論。</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tcPr>
          <w:p w:rsidR="00410D8A" w:rsidRDefault="00B44A1B">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single" w:sz="4" w:space="0" w:color="000000"/>
              <w:left w:val="single" w:sz="4" w:space="0" w:color="000000"/>
              <w:bottom w:val="single" w:sz="4" w:space="0" w:color="000000"/>
              <w:right w:val="single" w:sz="4" w:space="0" w:color="000000"/>
            </w:tcBorders>
          </w:tcPr>
          <w:p w:rsidR="00410D8A" w:rsidRDefault="00B44A1B">
            <w:pPr>
              <w:jc w:val="center"/>
              <w:rPr>
                <w:rFonts w:ascii="標楷體" w:eastAsia="標楷體" w:hAnsi="標楷體" w:cs="標楷體"/>
              </w:rPr>
            </w:pPr>
            <w:r>
              <w:rPr>
                <w:rFonts w:ascii="標楷體" w:eastAsia="標楷體" w:hAnsi="標楷體" w:cs="標楷體"/>
              </w:rPr>
              <w:t>於</w:t>
            </w:r>
            <w:r>
              <w:rPr>
                <w:rFonts w:ascii="標楷體" w:eastAsia="標楷體" w:hAnsi="標楷體" w:cs="標楷體"/>
              </w:rPr>
              <w:t xml:space="preserve">classroom </w:t>
            </w:r>
            <w:r>
              <w:rPr>
                <w:rFonts w:ascii="標楷體" w:eastAsia="標楷體" w:hAnsi="標楷體" w:cs="標楷體"/>
              </w:rPr>
              <w:t>觀看影片，再搜尋資料，於課堂上分享討論。</w:t>
            </w: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11</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二、生活中的聲音</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自製簡易樂器</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INe-III-6 </w:t>
            </w:r>
            <w:r>
              <w:rPr>
                <w:rFonts w:ascii="標楷體" w:eastAsia="標楷體" w:hAnsi="標楷體" w:cs="標楷體"/>
              </w:rPr>
              <w:t>聲音有大小、高低與音色等不同性質，生活中聲音有樂音與噪音之分，噪音可以防治。</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pc-III-2 </w:t>
            </w:r>
            <w:r>
              <w:rPr>
                <w:rFonts w:ascii="標楷體" w:eastAsia="標楷體" w:hAnsi="標楷體" w:cs="標楷體"/>
              </w:rPr>
              <w:t>能利用簡單形式的口語、文字、影像（例如：攝影、錄影）、繪圖或實物、科學名詞、數學公式、模型等，表達探究之過程、發現或成果。</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ah-III-2 </w:t>
            </w:r>
            <w:r>
              <w:rPr>
                <w:rFonts w:ascii="標楷體" w:eastAsia="標楷體" w:hAnsi="標楷體" w:cs="標楷體"/>
              </w:rPr>
              <w:t>透過科學探究活動解決一部分生活週遭的問題。</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12</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二、生活中的聲音</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自製簡易樂器</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INe-III-6 </w:t>
            </w:r>
            <w:r>
              <w:rPr>
                <w:rFonts w:ascii="標楷體" w:eastAsia="標楷體" w:hAnsi="標楷體" w:cs="標楷體"/>
              </w:rPr>
              <w:t>聲音有大小、高低與音色等不同性質，生活中聲音有樂音與噪音之分，噪音可以防治。</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pc-III-2 </w:t>
            </w:r>
            <w:r>
              <w:rPr>
                <w:rFonts w:ascii="標楷體" w:eastAsia="標楷體" w:hAnsi="標楷體" w:cs="標楷體"/>
              </w:rPr>
              <w:t>能利用簡單形式的口語、文字、影像（例如：攝影、錄影）、繪圖或實物、科學名詞、數學公式、模型等，表達探究之過程、發現或成果。</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ai-III-3 </w:t>
            </w:r>
            <w:r>
              <w:rPr>
                <w:rFonts w:ascii="標楷體" w:eastAsia="標楷體" w:hAnsi="標楷體" w:cs="標楷體"/>
              </w:rPr>
              <w:t>參與合作學習並與同儕有良好的互動經驗，享受學習科學的樂趣。</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ah-III-2 </w:t>
            </w:r>
            <w:r>
              <w:rPr>
                <w:rFonts w:ascii="標楷體" w:eastAsia="標楷體" w:hAnsi="標楷體" w:cs="標楷體"/>
              </w:rPr>
              <w:t>透過科學探究活動解決一部分生活週遭的問題。</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tcPr>
          <w:p w:rsidR="00410D8A" w:rsidRDefault="00B44A1B">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single" w:sz="4" w:space="0" w:color="000000"/>
              <w:left w:val="single" w:sz="4" w:space="0" w:color="000000"/>
              <w:bottom w:val="single" w:sz="4" w:space="0" w:color="000000"/>
              <w:right w:val="single" w:sz="4" w:space="0" w:color="000000"/>
            </w:tcBorders>
          </w:tcPr>
          <w:p w:rsidR="00410D8A" w:rsidRDefault="00B44A1B">
            <w:pPr>
              <w:jc w:val="center"/>
              <w:rPr>
                <w:rFonts w:ascii="標楷體" w:eastAsia="標楷體" w:hAnsi="標楷體" w:cs="標楷體"/>
              </w:rPr>
            </w:pPr>
            <w:r>
              <w:rPr>
                <w:rFonts w:ascii="標楷體" w:eastAsia="標楷體" w:hAnsi="標楷體" w:cs="標楷體"/>
              </w:rPr>
              <w:t>於</w:t>
            </w:r>
            <w:r>
              <w:rPr>
                <w:rFonts w:ascii="標楷體" w:eastAsia="標楷體" w:hAnsi="標楷體" w:cs="標楷體"/>
              </w:rPr>
              <w:t xml:space="preserve">classroom </w:t>
            </w:r>
            <w:r>
              <w:rPr>
                <w:rFonts w:ascii="標楷體" w:eastAsia="標楷體" w:hAnsi="標楷體" w:cs="標楷體"/>
              </w:rPr>
              <w:t>觀看影片，再搜尋資料，於課堂上分享討論。</w:t>
            </w: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13</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三、寰宇永續護地球</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生物與環境</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INc-III-9 </w:t>
            </w:r>
            <w:r>
              <w:rPr>
                <w:rFonts w:ascii="標楷體" w:eastAsia="標楷體" w:hAnsi="標楷體" w:cs="標楷體"/>
              </w:rPr>
              <w:t>不同的環境條件影響生物的種類和分布，以及生物間的食物關係，因而形成不同的生態系。</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INc-III-10 </w:t>
            </w:r>
            <w:r>
              <w:rPr>
                <w:rFonts w:ascii="標楷體" w:eastAsia="標楷體" w:hAnsi="標楷體" w:cs="標楷體"/>
              </w:rPr>
              <w:t>地球是由空氣、陸地、海洋及生存於其中的生物所組成的。</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ti-III-1 </w:t>
            </w:r>
            <w:r>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tm-III-1 </w:t>
            </w:r>
            <w:r>
              <w:rPr>
                <w:rFonts w:ascii="標楷體" w:eastAsia="標楷體" w:hAnsi="標楷體" w:cs="標楷體"/>
              </w:rPr>
              <w:t>能經由提問、觀察及實驗等歷程，探索自然界現象之間的關係，建立簡單的概念模型，並理解到有不同模型的存在。</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nil"/>
              <w:left w:val="nil"/>
              <w:bottom w:val="single" w:sz="6" w:space="0" w:color="000000"/>
              <w:right w:val="single" w:sz="6" w:space="0" w:color="000000"/>
            </w:tcBorders>
            <w:tcMar>
              <w:top w:w="20" w:type="dxa"/>
              <w:left w:w="20" w:type="dxa"/>
              <w:bottom w:w="20" w:type="dxa"/>
              <w:right w:w="20" w:type="dxa"/>
            </w:tcMar>
            <w:vAlign w:val="center"/>
          </w:tcPr>
          <w:p w:rsidR="00410D8A" w:rsidRDefault="00410D8A">
            <w:pPr>
              <w:rPr>
                <w:rFonts w:ascii="標楷體" w:eastAsia="標楷體" w:hAnsi="標楷體" w:cs="標楷體"/>
              </w:rPr>
            </w:pPr>
          </w:p>
        </w:tc>
        <w:tc>
          <w:tcPr>
            <w:tcW w:w="1560" w:type="dxa"/>
            <w:tcBorders>
              <w:top w:val="nil"/>
              <w:left w:val="nil"/>
              <w:bottom w:val="single" w:sz="6" w:space="0" w:color="000000"/>
              <w:right w:val="single" w:sz="6" w:space="0" w:color="000000"/>
            </w:tcBorders>
            <w:tcMar>
              <w:top w:w="20" w:type="dxa"/>
              <w:left w:w="20" w:type="dxa"/>
              <w:bottom w:w="20" w:type="dxa"/>
              <w:right w:w="20" w:type="dxa"/>
            </w:tcMar>
          </w:tcPr>
          <w:p w:rsidR="00410D8A" w:rsidRDefault="00410D8A">
            <w:pPr>
              <w:spacing w:before="240" w:after="240"/>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14</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三、寰宇永續護地球</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生物與環境</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INg-III-2 </w:t>
            </w:r>
            <w:r>
              <w:rPr>
                <w:rFonts w:ascii="標楷體" w:eastAsia="標楷體" w:hAnsi="標楷體" w:cs="標楷體"/>
              </w:rPr>
              <w:t>人類活動與其他生物的活動會相互影響，不當引進外來物種可能造成經濟損失和生態破壞。</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ti-III-1 </w:t>
            </w:r>
            <w:r>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ai-III-3 </w:t>
            </w:r>
            <w:r>
              <w:rPr>
                <w:rFonts w:ascii="標楷體" w:eastAsia="標楷體" w:hAnsi="標楷體" w:cs="標楷體"/>
              </w:rPr>
              <w:t>參與合作學習並與同儕有良好的互動經驗，享受學習科學的樂趣。</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410D8A" w:rsidRDefault="00410D8A">
            <w:pPr>
              <w:widowControl w:val="0"/>
              <w:spacing w:before="240" w:after="240"/>
              <w:rPr>
                <w:rFonts w:ascii="標楷體" w:eastAsia="標楷體" w:hAnsi="標楷體" w:cs="標楷體"/>
              </w:rPr>
            </w:pP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trHeight w:val="377"/>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15</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三、寰宇永續護地球</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人類活動對生態的影響</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-E-C1</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jc w:val="both"/>
              <w:rPr>
                <w:rFonts w:ascii="標楷體" w:eastAsia="標楷體" w:hAnsi="標楷體" w:cs="標楷體"/>
              </w:rPr>
            </w:pPr>
            <w:r>
              <w:rPr>
                <w:rFonts w:ascii="標楷體" w:eastAsia="標楷體" w:hAnsi="標楷體" w:cs="標楷體"/>
              </w:rPr>
              <w:t xml:space="preserve">INg-III-3 </w:t>
            </w:r>
            <w:r>
              <w:rPr>
                <w:rFonts w:ascii="標楷體" w:eastAsia="標楷體" w:hAnsi="標楷體" w:cs="標楷體"/>
              </w:rPr>
              <w:t>生物多樣性對人類的重要性，而氣候變遷將對生物生存造成影響。</w:t>
            </w:r>
          </w:p>
          <w:p w:rsidR="00410D8A" w:rsidRDefault="00B44A1B">
            <w:pPr>
              <w:widowControl w:val="0"/>
              <w:spacing w:before="240" w:after="240"/>
              <w:jc w:val="both"/>
              <w:rPr>
                <w:rFonts w:ascii="標楷體" w:eastAsia="標楷體" w:hAnsi="標楷體" w:cs="標楷體"/>
              </w:rPr>
            </w:pPr>
            <w:r>
              <w:rPr>
                <w:rFonts w:ascii="標楷體" w:eastAsia="標楷體" w:hAnsi="標楷體" w:cs="標楷體"/>
              </w:rPr>
              <w:t xml:space="preserve">INg-III-4 </w:t>
            </w:r>
            <w:r>
              <w:rPr>
                <w:rFonts w:ascii="標楷體" w:eastAsia="標楷體" w:hAnsi="標楷體" w:cs="標楷體"/>
              </w:rPr>
              <w:t>人類的活動會造成氣候變遷，加劇對生態與環境的影響。</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po-III-1 </w:t>
            </w:r>
            <w:r>
              <w:rPr>
                <w:rFonts w:ascii="標楷體" w:eastAsia="標楷體" w:hAnsi="標楷體" w:cs="標楷體"/>
              </w:rPr>
              <w:t>能從學習活動、日常經驗及科技運用、自然環境、書刊及網路媒體等察覺問題。</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16</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三、寰宇永續護地球</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資源開發與永續經營</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-E-C3</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INg-III-5 </w:t>
            </w:r>
            <w:r>
              <w:rPr>
                <w:rFonts w:ascii="標楷體" w:eastAsia="標楷體" w:hAnsi="標楷體" w:cs="標楷體"/>
              </w:rPr>
              <w:t>能源的使用與地球永續發展息息相關。</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INg-III-7</w:t>
            </w:r>
            <w:r>
              <w:rPr>
                <w:rFonts w:ascii="標楷體" w:eastAsia="標楷體" w:hAnsi="標楷體" w:cs="標楷體"/>
              </w:rPr>
              <w:t>人類行為的改變可以減緩氣候變遷所造成的衝擊與影響。</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pa-III-2 </w:t>
            </w:r>
            <w:r>
              <w:rPr>
                <w:rFonts w:ascii="標楷體" w:eastAsia="標楷體" w:hAnsi="標楷體" w:cs="標楷體"/>
              </w:rPr>
              <w:t>能從（所得的）資訊或數據，形成解釋、發現新知、獲知因果關係、解決問題或是發現新的問題。並能將自己的探究結果和他人的結果（例如：來自同學）比較對照，檢查相近探究是否有相近的結果。</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an-III-2 </w:t>
            </w:r>
            <w:r>
              <w:rPr>
                <w:rFonts w:ascii="標楷體" w:eastAsia="標楷體" w:hAnsi="標楷體" w:cs="標楷體"/>
              </w:rPr>
              <w:t>察覺許多科學的主張與結論，會隨著新證據的出現而改變。</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410D8A" w:rsidRDefault="00410D8A">
            <w:pPr>
              <w:jc w:val="center"/>
              <w:rPr>
                <w:rFonts w:ascii="標楷體" w:eastAsia="標楷體" w:hAnsi="標楷體" w:cs="標楷體"/>
              </w:rPr>
            </w:pPr>
          </w:p>
        </w:tc>
      </w:tr>
      <w:tr w:rsidR="00410D8A">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0D8A" w:rsidRDefault="00B44A1B">
            <w:pPr>
              <w:jc w:val="center"/>
              <w:rPr>
                <w:rFonts w:ascii="標楷體" w:eastAsia="標楷體" w:hAnsi="標楷體" w:cs="標楷體"/>
              </w:rPr>
            </w:pPr>
            <w:r>
              <w:rPr>
                <w:rFonts w:ascii="標楷體" w:eastAsia="標楷體" w:hAnsi="標楷體" w:cs="標楷體"/>
              </w:rPr>
              <w:t>17</w:t>
            </w:r>
          </w:p>
        </w:tc>
        <w:tc>
          <w:tcPr>
            <w:tcW w:w="15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三、寰宇永續護地球</w:t>
            </w:r>
          </w:p>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資源開發與永續經營</w:t>
            </w:r>
          </w:p>
        </w:tc>
        <w:tc>
          <w:tcPr>
            <w:tcW w:w="1470"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-E-C1</w:t>
            </w:r>
          </w:p>
        </w:tc>
        <w:tc>
          <w:tcPr>
            <w:tcW w:w="2565"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INg-III-4 </w:t>
            </w:r>
            <w:r>
              <w:rPr>
                <w:rFonts w:ascii="標楷體" w:eastAsia="標楷體" w:hAnsi="標楷體" w:cs="標楷體"/>
              </w:rPr>
              <w:t>人類的活動會造成氣候變遷，加劇對生態與環境的影響。</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INg-III-7</w:t>
            </w:r>
            <w:r>
              <w:rPr>
                <w:rFonts w:ascii="標楷體" w:eastAsia="標楷體" w:hAnsi="標楷體" w:cs="標楷體"/>
              </w:rPr>
              <w:t>人類行為的改變可以減緩氣候變遷所造成的衝擊與影響。</w:t>
            </w:r>
          </w:p>
        </w:tc>
        <w:tc>
          <w:tcPr>
            <w:tcW w:w="3811" w:type="dxa"/>
            <w:tcBorders>
              <w:top w:val="nil"/>
              <w:left w:val="nil"/>
              <w:bottom w:val="single" w:sz="6" w:space="0" w:color="000000"/>
              <w:right w:val="single" w:sz="6" w:space="0" w:color="000000"/>
            </w:tcBorders>
            <w:tcMar>
              <w:top w:w="0" w:type="dxa"/>
              <w:left w:w="100" w:type="dxa"/>
              <w:bottom w:w="0" w:type="dxa"/>
              <w:right w:w="100" w:type="dxa"/>
            </w:tcMar>
          </w:tcPr>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pa-III-2 </w:t>
            </w:r>
            <w:r>
              <w:rPr>
                <w:rFonts w:ascii="標楷體" w:eastAsia="標楷體" w:hAnsi="標楷體" w:cs="標楷體"/>
              </w:rPr>
              <w:t>能從（所得的）資訊或數據，形成解釋、發現新知、獲知因果關係、解決問題或是發現新的問題。並能將自己的探究結果和他人的結果（例如：來自同學）比較對照，檢查相近探究是否有相近的結果。</w:t>
            </w:r>
          </w:p>
          <w:p w:rsidR="00410D8A" w:rsidRDefault="00B44A1B">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an-III-2 </w:t>
            </w:r>
            <w:r>
              <w:rPr>
                <w:rFonts w:ascii="標楷體" w:eastAsia="標楷體" w:hAnsi="標楷體" w:cs="標楷體"/>
              </w:rPr>
              <w:t>察覺許多科學的主張與結論，會隨著新證據的出現而改變。</w:t>
            </w:r>
          </w:p>
        </w:tc>
        <w:tc>
          <w:tcPr>
            <w:tcW w:w="1418" w:type="dxa"/>
            <w:tcBorders>
              <w:top w:val="nil"/>
              <w:left w:val="nil"/>
              <w:bottom w:val="single" w:sz="6" w:space="0" w:color="000000"/>
              <w:right w:val="single" w:sz="6" w:space="0" w:color="000000"/>
            </w:tcBorders>
            <w:tcMar>
              <w:top w:w="0" w:type="dxa"/>
              <w:left w:w="20" w:type="dxa"/>
              <w:bottom w:w="0" w:type="dxa"/>
              <w:right w:w="20" w:type="dxa"/>
            </w:tcMar>
          </w:tcPr>
          <w:p w:rsidR="00410D8A" w:rsidRDefault="00B44A1B">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410D8A" w:rsidRDefault="00410D8A">
            <w:pPr>
              <w:widowControl w:val="0"/>
              <w:spacing w:before="240" w:after="240"/>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0D8A" w:rsidRDefault="00410D8A">
            <w:pPr>
              <w:rPr>
                <w:rFonts w:ascii="標楷體" w:eastAsia="標楷體" w:hAnsi="標楷體" w:cs="標楷體"/>
              </w:rPr>
            </w:pPr>
          </w:p>
        </w:tc>
        <w:tc>
          <w:tcPr>
            <w:tcW w:w="995" w:type="dxa"/>
            <w:tcBorders>
              <w:top w:val="nil"/>
              <w:left w:val="nil"/>
              <w:bottom w:val="single" w:sz="6" w:space="0" w:color="000000"/>
              <w:right w:val="single" w:sz="6" w:space="0" w:color="000000"/>
            </w:tcBorders>
            <w:tcMar>
              <w:top w:w="20" w:type="dxa"/>
              <w:left w:w="20" w:type="dxa"/>
              <w:bottom w:w="20" w:type="dxa"/>
              <w:right w:w="20" w:type="dxa"/>
            </w:tcMar>
          </w:tcPr>
          <w:p w:rsidR="00410D8A" w:rsidRDefault="00B44A1B">
            <w:pP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nil"/>
              <w:left w:val="nil"/>
              <w:bottom w:val="single" w:sz="6" w:space="0" w:color="000000"/>
              <w:right w:val="single" w:sz="6" w:space="0" w:color="000000"/>
            </w:tcBorders>
            <w:tcMar>
              <w:top w:w="20" w:type="dxa"/>
              <w:left w:w="20" w:type="dxa"/>
              <w:bottom w:w="20" w:type="dxa"/>
              <w:right w:w="20" w:type="dxa"/>
            </w:tcMar>
          </w:tcPr>
          <w:p w:rsidR="00410D8A" w:rsidRDefault="00B44A1B">
            <w:pPr>
              <w:spacing w:before="240" w:after="240"/>
              <w:jc w:val="center"/>
              <w:rPr>
                <w:rFonts w:ascii="標楷體" w:eastAsia="標楷體" w:hAnsi="標楷體" w:cs="標楷體"/>
              </w:rPr>
            </w:pPr>
            <w:r>
              <w:rPr>
                <w:rFonts w:ascii="標楷體" w:eastAsia="標楷體" w:hAnsi="標楷體" w:cs="標楷體"/>
              </w:rPr>
              <w:t>於</w:t>
            </w:r>
            <w:r>
              <w:rPr>
                <w:rFonts w:ascii="標楷體" w:eastAsia="標楷體" w:hAnsi="標楷體" w:cs="標楷體"/>
              </w:rPr>
              <w:t xml:space="preserve">classroom </w:t>
            </w:r>
            <w:r>
              <w:rPr>
                <w:rFonts w:ascii="標楷體" w:eastAsia="標楷體" w:hAnsi="標楷體" w:cs="標楷體"/>
              </w:rPr>
              <w:t>觀看影片，再搜尋資料，於課堂上分享討論。</w:t>
            </w:r>
          </w:p>
        </w:tc>
      </w:tr>
    </w:tbl>
    <w:p w:rsidR="00410D8A" w:rsidRDefault="00B44A1B">
      <w:pPr>
        <w:jc w:val="both"/>
        <w:rPr>
          <w:rFonts w:ascii="標楷體" w:eastAsia="標楷體" w:hAnsi="標楷體" w:cs="標楷體"/>
        </w:rPr>
      </w:pPr>
      <w:r>
        <w:rPr>
          <w:rFonts w:ascii="標楷體" w:eastAsia="標楷體" w:hAnsi="標楷體" w:cs="標楷體"/>
        </w:rPr>
        <w:t>註</w:t>
      </w:r>
      <w:r>
        <w:rPr>
          <w:rFonts w:ascii="標楷體" w:eastAsia="標楷體" w:hAnsi="標楷體" w:cs="標楷體"/>
        </w:rPr>
        <w:t>1</w:t>
      </w:r>
      <w:r>
        <w:rPr>
          <w:rFonts w:ascii="標楷體" w:eastAsia="標楷體" w:hAnsi="標楷體" w:cs="標楷體"/>
        </w:rPr>
        <w:t>：若為一個單元或主題跨數週實施，可合併欄位書寫。</w:t>
      </w:r>
    </w:p>
    <w:p w:rsidR="00410D8A" w:rsidRDefault="00B44A1B">
      <w:pPr>
        <w:jc w:val="both"/>
        <w:rPr>
          <w:rFonts w:ascii="標楷體" w:eastAsia="標楷體" w:hAnsi="標楷體" w:cs="標楷體"/>
        </w:rPr>
      </w:pPr>
      <w:bookmarkStart w:id="1" w:name="_heading=h.1fob9te" w:colFirst="0" w:colLast="0"/>
      <w:bookmarkEnd w:id="1"/>
      <w:r>
        <w:rPr>
          <w:rFonts w:ascii="標楷體" w:eastAsia="標楷體" w:hAnsi="標楷體" w:cs="標楷體"/>
        </w:rPr>
        <w:t>註</w:t>
      </w:r>
      <w:r>
        <w:rPr>
          <w:rFonts w:ascii="標楷體" w:eastAsia="標楷體" w:hAnsi="標楷體" w:cs="標楷體"/>
        </w:rPr>
        <w:t>2</w:t>
      </w:r>
      <w:r>
        <w:rPr>
          <w:rFonts w:ascii="標楷體" w:eastAsia="標楷體" w:hAnsi="標楷體" w:cs="標楷體"/>
        </w:rPr>
        <w:t>：「議題融入」中「法定議題」為必要項目，課綱議題則為鼓勵填寫。</w:t>
      </w:r>
      <w:r>
        <w:rPr>
          <w:rFonts w:ascii="標楷體" w:eastAsia="標楷體" w:hAnsi="標楷體" w:cs="標楷體"/>
        </w:rPr>
        <w:t>(</w:t>
      </w:r>
      <w:r>
        <w:rPr>
          <w:rFonts w:ascii="標楷體" w:eastAsia="標楷體" w:hAnsi="標楷體" w:cs="標楷體"/>
        </w:rPr>
        <w:t>例：法定</w:t>
      </w:r>
      <w:r>
        <w:rPr>
          <w:rFonts w:ascii="標楷體" w:eastAsia="標楷體" w:hAnsi="標楷體" w:cs="標楷體"/>
        </w:rPr>
        <w:t>/</w:t>
      </w:r>
      <w:r>
        <w:rPr>
          <w:rFonts w:ascii="標楷體" w:eastAsia="標楷體" w:hAnsi="標楷體" w:cs="標楷體"/>
        </w:rPr>
        <w:t>課綱</w:t>
      </w:r>
      <w:r>
        <w:rPr>
          <w:rFonts w:ascii="標楷體" w:eastAsia="標楷體" w:hAnsi="標楷體" w:cs="標楷體"/>
        </w:rPr>
        <w:t>-</w:t>
      </w:r>
      <w:r>
        <w:rPr>
          <w:rFonts w:ascii="標楷體" w:eastAsia="標楷體" w:hAnsi="標楷體" w:cs="標楷體"/>
        </w:rPr>
        <w:t>議題</w:t>
      </w:r>
      <w:r>
        <w:rPr>
          <w:rFonts w:ascii="標楷體" w:eastAsia="標楷體" w:hAnsi="標楷體" w:cs="標楷體"/>
        </w:rPr>
        <w:t>-</w:t>
      </w:r>
      <w:r>
        <w:rPr>
          <w:rFonts w:ascii="標楷體" w:eastAsia="標楷體" w:hAnsi="標楷體" w:cs="標楷體"/>
        </w:rPr>
        <w:t>節數</w:t>
      </w:r>
      <w:r>
        <w:rPr>
          <w:rFonts w:ascii="標楷體" w:eastAsia="標楷體" w:hAnsi="標楷體" w:cs="標楷體"/>
        </w:rPr>
        <w:t>)</w:t>
      </w:r>
      <w:r>
        <w:rPr>
          <w:rFonts w:ascii="標楷體" w:eastAsia="標楷體" w:hAnsi="標楷體" w:cs="標楷體"/>
        </w:rPr>
        <w:t>。</w:t>
      </w:r>
    </w:p>
    <w:p w:rsidR="00410D8A" w:rsidRDefault="00B44A1B">
      <w:pPr>
        <w:jc w:val="both"/>
        <w:rPr>
          <w:rFonts w:ascii="標楷體" w:eastAsia="標楷體" w:hAnsi="標楷體" w:cs="標楷體"/>
        </w:rPr>
      </w:pPr>
      <w:r>
        <w:rPr>
          <w:rFonts w:ascii="標楷體" w:eastAsia="標楷體" w:hAnsi="標楷體" w:cs="標楷體"/>
        </w:rPr>
        <w:t>（一）法定議題：依每學年度核定函辦理。</w:t>
      </w:r>
    </w:p>
    <w:p w:rsidR="00410D8A" w:rsidRDefault="00B44A1B">
      <w:pPr>
        <w:ind w:left="1764" w:hanging="1764"/>
        <w:jc w:val="both"/>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rsidR="00410D8A" w:rsidRDefault="00B44A1B">
      <w:pPr>
        <w:ind w:left="1762" w:hanging="1762"/>
        <w:jc w:val="both"/>
        <w:rPr>
          <w:rFonts w:ascii="標楷體" w:eastAsia="標楷體" w:hAnsi="標楷體" w:cs="標楷體"/>
        </w:rPr>
      </w:pPr>
      <w:r>
        <w:rPr>
          <w:rFonts w:ascii="標楷體" w:eastAsia="標楷體" w:hAnsi="標楷體" w:cs="標楷體"/>
        </w:rPr>
        <w:t>（三）請與附件参</w:t>
      </w:r>
      <w:r>
        <w:rPr>
          <w:rFonts w:ascii="標楷體" w:eastAsia="標楷體" w:hAnsi="標楷體" w:cs="標楷體"/>
        </w:rPr>
        <w:t>-2(e-2)</w:t>
      </w:r>
      <w:r>
        <w:rPr>
          <w:rFonts w:ascii="標楷體" w:eastAsia="標楷體" w:hAnsi="標楷體" w:cs="標楷體"/>
        </w:rPr>
        <w:t>「法律規定教育議題或重要宣導融入課程規劃檢核表」相對照。</w:t>
      </w:r>
    </w:p>
    <w:p w:rsidR="00410D8A" w:rsidRDefault="00B44A1B">
      <w:pPr>
        <w:jc w:val="both"/>
        <w:rPr>
          <w:rFonts w:ascii="標楷體" w:eastAsia="標楷體" w:hAnsi="標楷體" w:cs="標楷體"/>
          <w:b/>
          <w:color w:val="FF0000"/>
          <w:u w:val="single"/>
        </w:rPr>
      </w:pPr>
      <w:r>
        <w:rPr>
          <w:rFonts w:ascii="標楷體" w:eastAsia="標楷體" w:hAnsi="標楷體" w:cs="標楷體"/>
          <w:color w:val="FF0000"/>
        </w:rPr>
        <w:t>註</w:t>
      </w:r>
      <w:r>
        <w:rPr>
          <w:rFonts w:ascii="標楷體" w:eastAsia="標楷體" w:hAnsi="標楷體" w:cs="標楷體"/>
          <w:color w:val="FF0000"/>
        </w:rPr>
        <w:t>3</w:t>
      </w:r>
      <w:r>
        <w:rPr>
          <w:rFonts w:ascii="標楷體" w:eastAsia="標楷體" w:hAnsi="標楷體" w:cs="標楷體"/>
          <w:color w:val="FF0000"/>
        </w:rPr>
        <w:t>：</w:t>
      </w:r>
      <w:r>
        <w:rPr>
          <w:rFonts w:ascii="標楷體" w:eastAsia="標楷體" w:hAnsi="標楷體" w:cs="標楷體"/>
          <w:b/>
          <w:color w:val="FF0000"/>
          <w:u w:val="single"/>
        </w:rPr>
        <w:t>六年級第二學期須規劃學生畢業考後至畢業前課程活動之安排。</w:t>
      </w:r>
    </w:p>
    <w:p w:rsidR="00410D8A" w:rsidRDefault="00B44A1B">
      <w:pPr>
        <w:ind w:left="599" w:hanging="599"/>
        <w:jc w:val="both"/>
        <w:rPr>
          <w:rFonts w:ascii="標楷體" w:eastAsia="標楷體" w:hAnsi="標楷體" w:cs="標楷體"/>
          <w:color w:val="000000"/>
        </w:rPr>
      </w:pPr>
      <w:r>
        <w:rPr>
          <w:rFonts w:ascii="標楷體" w:eastAsia="標楷體" w:hAnsi="標楷體" w:cs="標楷體"/>
          <w:b/>
          <w:color w:val="FF0000"/>
          <w:u w:val="single"/>
        </w:rPr>
        <w:t>註</w:t>
      </w:r>
      <w:r>
        <w:rPr>
          <w:rFonts w:ascii="標楷體" w:eastAsia="標楷體" w:hAnsi="標楷體" w:cs="標楷體"/>
          <w:b/>
          <w:color w:val="FF0000"/>
          <w:u w:val="single"/>
        </w:rPr>
        <w:t>4</w:t>
      </w:r>
      <w:r>
        <w:rPr>
          <w:rFonts w:ascii="標楷體" w:eastAsia="標楷體" w:hAnsi="標楷體" w:cs="標楷體"/>
          <w:color w:val="FF0000"/>
        </w:rPr>
        <w:t>：</w:t>
      </w:r>
      <w:r>
        <w:rPr>
          <w:rFonts w:ascii="標楷體" w:eastAsia="標楷體" w:hAnsi="標楷體" w:cs="標楷體"/>
          <w:b/>
          <w:color w:val="FF0000"/>
        </w:rPr>
        <w:t>評量方式撰寫</w:t>
      </w:r>
      <w:r>
        <w:rPr>
          <w:rFonts w:ascii="標楷體" w:eastAsia="標楷體" w:hAnsi="標楷體" w:cs="標楷體"/>
        </w:rPr>
        <w:t>請參採「國民小學及國民中學學生成績評量準則」</w:t>
      </w:r>
      <w:r>
        <w:rPr>
          <w:rFonts w:ascii="標楷體" w:eastAsia="標楷體" w:hAnsi="標楷體" w:cs="標楷體"/>
          <w:b/>
        </w:rPr>
        <w:t>第五條</w:t>
      </w:r>
      <w:r>
        <w:rPr>
          <w:rFonts w:ascii="標楷體" w:eastAsia="標楷體" w:hAnsi="標楷體" w:cs="標楷體"/>
        </w:rPr>
        <w:t>：國民中小學學生成績評量，應依第三條規定，並視學生身心發展、個別差異、文化差異及核心素養內涵，採取下列適當之</w:t>
      </w:r>
      <w:r>
        <w:rPr>
          <w:rFonts w:ascii="標楷體" w:eastAsia="標楷體" w:hAnsi="標楷體" w:cs="標楷體"/>
          <w:b/>
        </w:rPr>
        <w:t>多元評量</w:t>
      </w:r>
      <w:r>
        <w:rPr>
          <w:rFonts w:ascii="標楷體" w:eastAsia="標楷體" w:hAnsi="標楷體" w:cs="標楷體"/>
        </w:rPr>
        <w:t>方式：</w:t>
      </w:r>
    </w:p>
    <w:p w:rsidR="00410D8A" w:rsidRDefault="00B44A1B">
      <w:pPr>
        <w:ind w:left="2875" w:hanging="2309"/>
        <w:jc w:val="both"/>
        <w:rPr>
          <w:rFonts w:ascii="標楷體" w:eastAsia="標楷體" w:hAnsi="標楷體" w:cs="標楷體"/>
        </w:rPr>
      </w:pPr>
      <w:r>
        <w:rPr>
          <w:rFonts w:ascii="標楷體" w:eastAsia="標楷體" w:hAnsi="標楷體" w:cs="標楷體"/>
        </w:rPr>
        <w:t>一、紙筆測驗及表單：依重要知識與概念性目標，及學習興趣、動機與態度等情意目標，採用學習單、習作作業、紙筆測驗、問卷、檢核表、評定量表或其他方式。</w:t>
      </w:r>
    </w:p>
    <w:p w:rsidR="00410D8A" w:rsidRDefault="00B44A1B">
      <w:pPr>
        <w:ind w:left="2197" w:hanging="1631"/>
        <w:jc w:val="both"/>
        <w:rPr>
          <w:rFonts w:ascii="標楷體" w:eastAsia="標楷體" w:hAnsi="標楷體" w:cs="標楷體"/>
        </w:rPr>
      </w:pPr>
      <w:r>
        <w:rPr>
          <w:rFonts w:ascii="標楷體" w:eastAsia="標楷體" w:hAnsi="標楷體" w:cs="標楷體"/>
        </w:rPr>
        <w:t>二、實作評量：依問題解決、技能、參與實踐及言行表現目標，採書面報告、口頭報告、聽力與口語溝通、實際操作、作品製作、展演、鑑賞、行為觀察或其他方式。</w:t>
      </w:r>
    </w:p>
    <w:p w:rsidR="00410D8A" w:rsidRDefault="00B44A1B">
      <w:pPr>
        <w:ind w:left="2197" w:hanging="1631"/>
        <w:jc w:val="both"/>
        <w:rPr>
          <w:rFonts w:ascii="標楷體" w:eastAsia="標楷體" w:hAnsi="標楷體" w:cs="標楷體"/>
        </w:rPr>
      </w:pPr>
      <w:r>
        <w:rPr>
          <w:rFonts w:ascii="標楷體" w:eastAsia="標楷體" w:hAnsi="標楷體" w:cs="標楷體"/>
        </w:rPr>
        <w:t>三、檔案評量：依學習目標，指導學生本於目的導</w:t>
      </w:r>
      <w:r>
        <w:rPr>
          <w:rFonts w:ascii="標楷體" w:eastAsia="標楷體" w:hAnsi="標楷體" w:cs="標楷體"/>
        </w:rPr>
        <w:t>向系統性彙整之表單、測驗、表現評量與其他資料及相關紀錄，製成檔案，展現其學習歷程及成果。</w:t>
      </w:r>
    </w:p>
    <w:p w:rsidR="00410D8A" w:rsidRDefault="00B44A1B">
      <w:pPr>
        <w:ind w:left="577" w:hanging="575"/>
        <w:jc w:val="both"/>
        <w:rPr>
          <w:rFonts w:ascii="標楷體" w:eastAsia="標楷體" w:hAnsi="標楷體" w:cs="標楷體"/>
        </w:rPr>
      </w:pPr>
      <w:bookmarkStart w:id="2" w:name="_heading=h.gjdgxs" w:colFirst="0" w:colLast="0"/>
      <w:bookmarkEnd w:id="2"/>
      <w:r>
        <w:rPr>
          <w:rFonts w:ascii="標楷體" w:eastAsia="標楷體" w:hAnsi="標楷體" w:cs="標楷體"/>
          <w:color w:val="FF0000"/>
        </w:rPr>
        <w:t>註</w:t>
      </w:r>
      <w:r>
        <w:rPr>
          <w:rFonts w:ascii="標楷體" w:eastAsia="標楷體" w:hAnsi="標楷體" w:cs="標楷體"/>
          <w:color w:val="FF0000"/>
        </w:rPr>
        <w:t>5</w:t>
      </w:r>
      <w:r>
        <w:rPr>
          <w:rFonts w:ascii="標楷體" w:eastAsia="標楷體" w:hAnsi="標楷體" w:cs="標楷體"/>
          <w:color w:val="FF0000"/>
        </w:rPr>
        <w:t>：依據「高雄市高級中等以下學校線上教學計畫」第七點所示：「鼓勵學校於各領域課程計畫規劃時，每學期至少實施</w:t>
      </w:r>
      <w:r>
        <w:rPr>
          <w:rFonts w:ascii="標楷體" w:eastAsia="標楷體" w:hAnsi="標楷體" w:cs="標楷體"/>
          <w:color w:val="FF0000"/>
        </w:rPr>
        <w:t>3</w:t>
      </w:r>
      <w:r>
        <w:rPr>
          <w:rFonts w:ascii="標楷體" w:eastAsia="標楷體" w:hAnsi="標楷體" w:cs="標楷體"/>
          <w:color w:val="FF0000"/>
        </w:rPr>
        <w:t>次線上教學」，請各校於每學期各領域</w:t>
      </w:r>
      <w:r>
        <w:rPr>
          <w:rFonts w:ascii="標楷體" w:eastAsia="標楷體" w:hAnsi="標楷體" w:cs="標楷體"/>
          <w:color w:val="FF0000"/>
        </w:rPr>
        <w:t>/</w:t>
      </w:r>
      <w:r>
        <w:rPr>
          <w:rFonts w:ascii="標楷體" w:eastAsia="標楷體" w:hAnsi="標楷體" w:cs="標楷體"/>
          <w:color w:val="FF0000"/>
        </w:rPr>
        <w:t>科目課程計畫「線上教學」欄，註明預計實施線上教學之進度。</w:t>
      </w:r>
    </w:p>
    <w:sectPr w:rsidR="00410D8A">
      <w:footerReference w:type="default" r:id="rId7"/>
      <w:pgSz w:w="16838" w:h="11906" w:orient="landscape"/>
      <w:pgMar w:top="1021" w:right="851" w:bottom="102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4A1B">
      <w:r>
        <w:separator/>
      </w:r>
    </w:p>
  </w:endnote>
  <w:endnote w:type="continuationSeparator" w:id="0">
    <w:p w:rsidR="00000000" w:rsidRDefault="00B4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00000001" w:usb1="08080000" w:usb2="00000010" w:usb3="00000000" w:csb0="00100000"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8A" w:rsidRDefault="00410D8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4A1B">
      <w:r>
        <w:separator/>
      </w:r>
    </w:p>
  </w:footnote>
  <w:footnote w:type="continuationSeparator" w:id="0">
    <w:p w:rsidR="00000000" w:rsidRDefault="00B44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8A"/>
    <w:rsid w:val="00410D8A"/>
    <w:rsid w:val="00B44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79CFF-96D6-4539-929C-EDE9A7F6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textAlignment w:val="baseline"/>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D4221F"/>
    <w:pPr>
      <w:widowControl w:val="0"/>
      <w:autoSpaceDE w:val="0"/>
      <w:autoSpaceDN w:val="0"/>
      <w:adjustRightInd w:val="0"/>
    </w:pPr>
    <w:rPr>
      <w:rFonts w:ascii="標楷體" w:eastAsia="標楷體" w:cs="標楷體"/>
      <w:color w:val="000000"/>
    </w:rPr>
  </w:style>
  <w:style w:type="character" w:styleId="af7">
    <w:name w:val="Strong"/>
    <w:basedOn w:val="a0"/>
    <w:uiPriority w:val="22"/>
    <w:qFormat/>
    <w:rsid w:val="0094434C"/>
    <w:rPr>
      <w:b/>
      <w:bCs/>
    </w:rPr>
  </w:style>
  <w:style w:type="paragraph" w:styleId="af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3"/>
    <w:tblPr>
      <w:tblStyleRowBandSize w:val="1"/>
      <w:tblStyleColBandSize w:val="1"/>
      <w:tblCellMar>
        <w:left w:w="10" w:type="dxa"/>
        <w:right w:w="10" w:type="dxa"/>
      </w:tblCellMar>
    </w:tblPr>
  </w:style>
  <w:style w:type="table" w:customStyle="1" w:styleId="afa">
    <w:basedOn w:val="TableNormal3"/>
    <w:tblPr>
      <w:tblStyleRowBandSize w:val="1"/>
      <w:tblStyleColBandSize w:val="1"/>
      <w:tblCellMar>
        <w:left w:w="10" w:type="dxa"/>
        <w:right w:w="10" w:type="dxa"/>
      </w:tblCellMar>
    </w:tblPr>
  </w:style>
  <w:style w:type="table" w:customStyle="1" w:styleId="afb">
    <w:basedOn w:val="TableNormal2"/>
    <w:tblPr>
      <w:tblStyleRowBandSize w:val="1"/>
      <w:tblStyleColBandSize w:val="1"/>
      <w:tblCellMar>
        <w:left w:w="10" w:type="dxa"/>
        <w:right w:w="10" w:type="dxa"/>
      </w:tblCellMar>
    </w:tblPr>
  </w:style>
  <w:style w:type="table" w:customStyle="1" w:styleId="afc">
    <w:basedOn w:val="TableNormal2"/>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xE3nUNoobnsFg5GSug1suzo3g==">CgMxLjAyCWguMWZvYjl0ZTIIaC5namRneHM4AHIhMWh5NVozaU5ydGFfUWs4RHFRdFBBVTdIMHFvdkd6RUFt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cp:revision>
  <dcterms:created xsi:type="dcterms:W3CDTF">2024-06-26T05:47:00Z</dcterms:created>
  <dcterms:modified xsi:type="dcterms:W3CDTF">2024-06-26T05:47:00Z</dcterms:modified>
</cp:coreProperties>
</file>