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4D" w:rsidRDefault="006B67B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A3284D" w:rsidRDefault="00C63EB1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772857684"/>
        </w:sdtPr>
        <w:sdtEndPr/>
        <w:sdtContent>
          <w:r w:rsidR="006B67B8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</w:sdtContent>
      </w:sdt>
      <w:r w:rsidR="006B67B8">
        <w:rPr>
          <w:rFonts w:ascii="PMingLiu" w:eastAsia="PMingLiu" w:hAnsi="PMingLiu" w:cs="PMingLiu"/>
          <w:b/>
          <w:sz w:val="28"/>
          <w:szCs w:val="28"/>
        </w:rPr>
        <w:t>六</w:t>
      </w:r>
      <w:sdt>
        <w:sdtPr>
          <w:tag w:val="goog_rdk_1"/>
          <w:id w:val="-1393961745"/>
        </w:sdtPr>
        <w:sdtEndPr/>
        <w:sdtContent>
          <w:r w:rsidR="006B67B8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</w:sdtContent>
      </w:sdt>
      <w:r w:rsidR="006B67B8">
        <w:rPr>
          <w:rFonts w:ascii="PMingLiu" w:eastAsia="PMingLiu" w:hAnsi="PMingLiu" w:cs="PMingLiu"/>
          <w:b/>
          <w:sz w:val="28"/>
          <w:szCs w:val="28"/>
        </w:rPr>
        <w:t>二</w:t>
      </w:r>
      <w:sdt>
        <w:sdtPr>
          <w:tag w:val="goog_rdk_2"/>
          <w:id w:val="996310550"/>
        </w:sdtPr>
        <w:sdtEndPr/>
        <w:sdtContent>
          <w:r w:rsidR="006B67B8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</w:sdtContent>
      </w:sdt>
      <w:r w:rsidR="006B67B8">
        <w:rPr>
          <w:rFonts w:ascii="PMingLiu" w:eastAsia="PMingLiu" w:hAnsi="PMingLiu" w:cs="PMingLiu"/>
          <w:b/>
          <w:sz w:val="28"/>
          <w:szCs w:val="28"/>
        </w:rPr>
        <w:t>綜合</w:t>
      </w:r>
      <w:sdt>
        <w:sdtPr>
          <w:tag w:val="goog_rdk_3"/>
          <w:id w:val="2105300447"/>
        </w:sdtPr>
        <w:sdtEndPr/>
        <w:sdtContent>
          <w:r w:rsidR="006B67B8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c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A3284D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協同教學規劃及線上教學規劃</w:t>
            </w:r>
          </w:p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(無則免填)</w:t>
            </w:r>
          </w:p>
        </w:tc>
      </w:tr>
      <w:tr w:rsidR="00A3284D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A3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A3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A3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bookmarkStart w:id="0" w:name="_heading=h.30j0zll" w:colFirst="0" w:colLast="0"/>
            <w:bookmarkEnd w:id="0"/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A3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A3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84D" w:rsidRDefault="00A3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一、地球警戒線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1.大自然的反撲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Cd-III-1生態資源及其與環境的相關。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Cd-III-2人類對環境及生態資源的影響。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3d-III-1實踐環境友善行動，珍惜生態資源與環境。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課綱：環境-1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將分組討論結果上傳至平台分享</w:t>
            </w: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一、地球警戒線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1.大自然的反撲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Cd-III-1生態資源及其與環境的相關。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Cd-III-2人類對環境及生態資源的影響。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3d-III-1實踐環境友善行動，珍惜生態資源與環境。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課綱：環境-1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/>
              </w:rPr>
              <w:t>法定：海洋教育-1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一、地球警戒線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2.綠生活行動GO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Cd-III-3生態資源與環境保護行動的執行。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Cd-III-4珍惜生態資源與環境保護情懷的展現。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3d-III-1實踐環境友善行動，珍惜生態資源與環境。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課綱：環境-1</w:t>
            </w:r>
          </w:p>
          <w:p w:rsidR="00A3284D" w:rsidRDefault="00A328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一、地球警戒線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2.綠生活行動GO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Cd-III-3生態資源與環境保護行動的執行。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lastRenderedPageBreak/>
              <w:t>Cd-III-4珍惜生態資源與環境保護情懷的展現。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3d-III-1實踐環境友善行動，珍惜生態資源與環境。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課綱：環境-1</w:t>
            </w:r>
          </w:p>
          <w:p w:rsidR="00A3284D" w:rsidRDefault="00A328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二、生命守護員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1.珍惜生命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Ad-III-3尊重生命的行動方案。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Ad-III-4珍惜生命的行動方案。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1d-III-1覺察生命的變化與發展，實踐尊重和珍惜生命。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課綱：生命-1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法定：家庭暴力防治-2</w:t>
            </w:r>
          </w:p>
          <w:p w:rsidR="00A3284D" w:rsidRDefault="00A328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將分組討論結果上傳至平台分享</w:t>
            </w: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二、生命守護員</w:t>
            </w:r>
          </w:p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1.珍惜生命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2.守護生命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Ad-III-3尊重生命的行動方案。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Ad-III-4珍惜生命的行動方案。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1d-III-1覺察生命的變化與發展，實踐尊重和珍惜生命。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課綱：生命-1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法定：家庭暴力防治-1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二、生命守護員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2.守護生命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Ad-III-3尊重生命的行動方案。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Ad-III-4珍惜生命的行動方案。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1d-III-1覺察生命的變化與發展，實踐尊重和珍惜生命。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課綱：生命-1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法定：職業試探-1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三、我們這一班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1.回憶總動員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Bb-III-2團隊運作的問題與解決。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Bb-III-3團隊合作的技巧。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2b-III-1參與各項活動，適切表現自己在團體中的角色，協同合作達成共同目標。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課綱：性別-1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法定：兒童權利公約-1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將分組討論結果上傳至平台分享</w:t>
            </w: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三、我們這一班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1.回憶總動員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Bb-III-2團隊運作的問題與解決。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lastRenderedPageBreak/>
              <w:t>Bb-III-3團隊合作的技巧。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2b-III-1參與各項活動，適切表現自己在團體中的角色，協同合作達成共同目標。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法定：防災教育-2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三、我們這一班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2.有你們真好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Bb-III-2團隊運作的問題與解決。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Bb-III-3團隊合作的技巧。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2b-III-1參與各項活動，適切表現自己在團體中的角色，協同合作達成共同目標。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三、我們這一班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2.有你們真好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Bb-III-2團隊運作的問題與解決。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Bb-III-3團隊合作的技巧。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2b-III-1參與各項活動，適切表現自己在團體中的角色，協同合作達成共同目標。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課綱：品德-1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四、擁抱你我特質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1.特質知多少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Aa-III-1 自己與他人特質的欣賞及接納。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Aa-III-2 對自己與他人悅納的表現。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1a-III-1欣賞並接納自己與他人。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法定：性別平等教育-2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四、擁抱你我特質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1.特質知多少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Aa-III-1 自己與他人特質的欣賞及接納。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Aa-III-2 對自己與他人悅納的表現。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1a-III-1欣賞並接納自己與他人。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課綱：性別-1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法定：性別平等教育-2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四、擁抱你我特質</w:t>
            </w:r>
          </w:p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1.特質知多少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2.欣賞的魔力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Aa-III-1 自己與他人特質的欣賞及接納。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Aa-III-2 對自己與他人悅納的表現。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1a-III-1欣賞並接納自己與他人。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法定：性別平等教育-2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四、擁抱你我特質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2.欣賞的魔力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Aa-III-1 自己與他人特質的欣賞及接納。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Aa-III-2 對自己與他人悅納的表現。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1a-III-1欣賞並接納自己與他人。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五、築夢樂飛揚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1.興趣探路者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Ac-III-1職業與能力。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Ac-III-2職業興趣。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1c-III-1 運用生涯資訊，初探自己的生涯發展。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課綱：生涯-1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2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ind w:left="24" w:right="2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五、築夢樂飛揚</w:t>
            </w:r>
          </w:p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1.興趣探路者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Ac-III-1職業與能力。</w:t>
            </w:r>
          </w:p>
          <w:p w:rsidR="00A3284D" w:rsidRDefault="006B67B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Ac-III-2職業興趣。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1c-III-1 運用生涯資訊，初探自己的生涯發展。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A3284D" w:rsidRDefault="006B67B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4D" w:rsidRDefault="006B67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課綱：生涯-1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4D" w:rsidRDefault="00A328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A3284D" w:rsidRDefault="006B67B8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A3284D" w:rsidRDefault="006B67B8">
      <w:pPr>
        <w:jc w:val="both"/>
        <w:rPr>
          <w:sz w:val="23"/>
          <w:szCs w:val="23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註2：「議題融入」中「法定議題」為必要項目，課綱議題則為鼓勵填寫。(例：法定/課綱-議題-節數)。</w:t>
      </w:r>
    </w:p>
    <w:p w:rsidR="00A3284D" w:rsidRDefault="006B67B8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A3284D" w:rsidRDefault="006B67B8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A3284D" w:rsidRDefault="006B67B8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A3284D" w:rsidRDefault="006B67B8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A3284D" w:rsidRDefault="006B67B8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A3284D" w:rsidRDefault="006B67B8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A3284D" w:rsidRDefault="006B67B8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A3284D" w:rsidRDefault="006B67B8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A3284D" w:rsidRDefault="006B67B8">
      <w:pPr>
        <w:ind w:left="577" w:hanging="575"/>
        <w:jc w:val="both"/>
        <w:rPr>
          <w:rFonts w:ascii="標楷體" w:eastAsia="標楷體" w:hAnsi="標楷體" w:cs="標楷體"/>
        </w:rPr>
      </w:pPr>
      <w:bookmarkStart w:id="3" w:name="_heading=h.gjdgxs" w:colFirst="0" w:colLast="0"/>
      <w:bookmarkEnd w:id="3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A3284D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6D" w:rsidRDefault="006B67B8">
      <w:r>
        <w:separator/>
      </w:r>
    </w:p>
  </w:endnote>
  <w:endnote w:type="continuationSeparator" w:id="0">
    <w:p w:rsidR="00D16A6D" w:rsidRDefault="006B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4D" w:rsidRDefault="00A328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6D" w:rsidRDefault="006B67B8">
      <w:r>
        <w:separator/>
      </w:r>
    </w:p>
  </w:footnote>
  <w:footnote w:type="continuationSeparator" w:id="0">
    <w:p w:rsidR="00D16A6D" w:rsidRDefault="006B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4D"/>
    <w:rsid w:val="006B67B8"/>
    <w:rsid w:val="00A3284D"/>
    <w:rsid w:val="00C63EB1"/>
    <w:rsid w:val="00D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D066"/>
  <w15:docId w15:val="{F37AD84B-2148-44C7-96CE-E90844A5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0USsonhpkN5sZJs2H6KV8lGTdw==">CgMxLjAaFAoBMBIPCg0IB0IJEgdHdW5nc3VoGhQKATESDwoNCAdCCRIHR3VuZ3N1aBoUCgEyEg8KDQgHQgkSB0d1bmdzdWgaFAoBMxIPCg0IB0IJEgdHdW5nc3VoMgloLjMwajB6bGwyCWguMWZvYjl0ZTIIaC5namRneHM4AHIhMWNnSEMwdi1OUXkwQmIybnl5bDdPUlRsaE0zckZ3OTdf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dcterms:created xsi:type="dcterms:W3CDTF">2024-06-26T06:05:00Z</dcterms:created>
  <dcterms:modified xsi:type="dcterms:W3CDTF">2024-06-26T06:14:00Z</dcterms:modified>
</cp:coreProperties>
</file>